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9091" w14:textId="2BF55F54" w:rsidR="009478AB" w:rsidRDefault="000E1803">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Pr>
          <w:rStyle w:val="FootnoteReference"/>
          <w:rFonts w:ascii="Calibri" w:hAnsi="Calibri"/>
          <w:b/>
          <w:bCs/>
          <w:color w:val="00558C"/>
          <w:sz w:val="24"/>
          <w:szCs w:val="24"/>
        </w:rPr>
        <w:footnoteReference w:id="1"/>
      </w:r>
      <w:r>
        <w:rPr>
          <w:rFonts w:ascii="Calibri" w:hAnsi="Calibri"/>
          <w:b/>
          <w:bCs/>
          <w:color w:val="00558C"/>
          <w:sz w:val="24"/>
          <w:szCs w:val="24"/>
        </w:rPr>
        <w:t xml:space="preserve">  </w:t>
      </w:r>
      <w:r w:rsidR="00711EDE">
        <w:rPr>
          <w:rFonts w:ascii="Calibri" w:hAnsi="Calibri"/>
          <w:color w:val="00558C"/>
          <w:sz w:val="24"/>
          <w:szCs w:val="24"/>
        </w:rPr>
        <w:t>VTS60-6.2.8</w:t>
      </w:r>
    </w:p>
    <w:p w14:paraId="3DE9E4D1" w14:textId="77777777" w:rsidR="009478AB" w:rsidRDefault="009478AB">
      <w:pPr>
        <w:pStyle w:val="BodyText"/>
        <w:tabs>
          <w:tab w:val="left" w:pos="2835"/>
        </w:tabs>
        <w:rPr>
          <w:rFonts w:ascii="Calibri" w:hAnsi="Calibri"/>
        </w:rPr>
      </w:pPr>
    </w:p>
    <w:p w14:paraId="50FBED1B" w14:textId="77777777" w:rsidR="009478AB" w:rsidRDefault="000E1803">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6BC41413" w14:textId="77777777" w:rsidR="009478AB" w:rsidRDefault="000E1803">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5C4312FD" w14:textId="77777777" w:rsidR="009478AB" w:rsidRDefault="0084434F">
      <w:pPr>
        <w:pStyle w:val="BodyText"/>
        <w:tabs>
          <w:tab w:val="left" w:pos="1843"/>
        </w:tabs>
        <w:rPr>
          <w:rFonts w:ascii="Calibri" w:hAnsi="Calibri" w:cs="Arial"/>
          <w:b/>
        </w:rPr>
      </w:pPr>
      <w:sdt>
        <w:sdtPr>
          <w:rPr>
            <w:rFonts w:ascii="Calibri" w:hAnsi="Calibri" w:cs="Arial"/>
            <w:b/>
            <w:sz w:val="24"/>
            <w:szCs w:val="24"/>
          </w:rPr>
          <w:id w:val="-1"/>
          <w14:checkbox>
            <w14:checked w14:val="0"/>
            <w14:checkedState w14:val="2612" w14:font="MS Gothic"/>
            <w14:uncheckedState w14:val="2610" w14:font="MS Gothic"/>
          </w14:checkbox>
        </w:sdtPr>
        <w:sdtEndPr/>
        <w:sdtContent>
          <w:r w:rsidR="000E1803">
            <w:rPr>
              <w:rFonts w:ascii="MS Gothic" w:eastAsia="MS Gothic" w:hAnsi="MS Gothic" w:cs="Arial" w:hint="eastAsia"/>
              <w:b/>
              <w:sz w:val="24"/>
              <w:szCs w:val="24"/>
            </w:rPr>
            <w:t>☐</w:t>
          </w:r>
        </w:sdtContent>
      </w:sdt>
      <w:r w:rsidR="000E1803">
        <w:rPr>
          <w:rFonts w:ascii="Calibri" w:hAnsi="Calibri" w:cs="Arial"/>
          <w:sz w:val="24"/>
          <w:szCs w:val="24"/>
        </w:rPr>
        <w:t xml:space="preserve"> </w:t>
      </w:r>
      <w:r w:rsidR="000E1803">
        <w:rPr>
          <w:rFonts w:ascii="Calibri" w:hAnsi="Calibri" w:cs="Arial"/>
        </w:rPr>
        <w:t>ARM</w:t>
      </w:r>
      <w:r w:rsidR="000E1803">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0E1803">
            <w:rPr>
              <w:rFonts w:ascii="MS Gothic" w:eastAsia="MS Gothic" w:hAnsi="MS Gothic" w:cs="Arial" w:hint="eastAsia"/>
              <w:b/>
              <w:sz w:val="24"/>
              <w:szCs w:val="24"/>
            </w:rPr>
            <w:t>☐</w:t>
          </w:r>
        </w:sdtContent>
      </w:sdt>
      <w:r w:rsidR="000E1803">
        <w:rPr>
          <w:rFonts w:ascii="Calibri" w:hAnsi="Calibri" w:cs="Arial"/>
          <w:sz w:val="24"/>
          <w:szCs w:val="24"/>
        </w:rPr>
        <w:t xml:space="preserve">  </w:t>
      </w:r>
      <w:r w:rsidR="000E1803">
        <w:rPr>
          <w:rFonts w:ascii="Calibri" w:hAnsi="Calibri" w:cs="Arial"/>
        </w:rPr>
        <w:t>ENG</w:t>
      </w:r>
      <w:r w:rsidR="000E1803">
        <w:rPr>
          <w:rFonts w:ascii="Calibri" w:hAnsi="Calibri" w:cs="Arial"/>
        </w:rPr>
        <w:tab/>
      </w:r>
      <w:r w:rsidR="000E1803">
        <w:rPr>
          <w:rFonts w:ascii="Calibri" w:hAnsi="Calibri" w:cs="Arial"/>
        </w:rPr>
        <w:tab/>
      </w:r>
      <w:bookmarkStart w:id="0" w:name="_Hlk81060441"/>
      <w:sdt>
        <w:sdtPr>
          <w:rPr>
            <w:rFonts w:ascii="Calibri" w:hAnsi="Calibri" w:cs="Arial"/>
            <w:b/>
            <w:sz w:val="24"/>
            <w:szCs w:val="24"/>
          </w:rPr>
          <w:id w:val="357647204"/>
          <w14:checkbox>
            <w14:checked w14:val="0"/>
            <w14:checkedState w14:val="2612" w14:font="MS Gothic"/>
            <w14:uncheckedState w14:val="2610" w14:font="MS Gothic"/>
          </w14:checkbox>
        </w:sdtPr>
        <w:sdtEndPr/>
        <w:sdtContent>
          <w:r w:rsidR="000E1803">
            <w:rPr>
              <w:rFonts w:ascii="MS Gothic" w:eastAsia="MS Gothic" w:hAnsi="MS Gothic" w:cs="Arial" w:hint="eastAsia"/>
              <w:b/>
              <w:sz w:val="24"/>
              <w:szCs w:val="24"/>
            </w:rPr>
            <w:t>☐</w:t>
          </w:r>
        </w:sdtContent>
      </w:sdt>
      <w:r w:rsidR="000E1803">
        <w:rPr>
          <w:rFonts w:ascii="Calibri" w:hAnsi="Calibri" w:cs="Arial"/>
          <w:sz w:val="24"/>
          <w:szCs w:val="24"/>
        </w:rPr>
        <w:t xml:space="preserve"> </w:t>
      </w:r>
      <w:bookmarkEnd w:id="0"/>
      <w:r w:rsidR="000E1803">
        <w:rPr>
          <w:rFonts w:ascii="Calibri" w:hAnsi="Calibri" w:cs="Arial"/>
        </w:rPr>
        <w:t>PAP</w:t>
      </w:r>
      <w:r w:rsidR="000E1803">
        <w:rPr>
          <w:rFonts w:ascii="Calibri" w:hAnsi="Calibri" w:cs="Arial"/>
          <w:sz w:val="24"/>
          <w:szCs w:val="24"/>
        </w:rPr>
        <w:tab/>
      </w:r>
      <w:r w:rsidR="000E1803">
        <w:rPr>
          <w:rFonts w:ascii="Calibri" w:hAnsi="Calibri" w:cs="Arial"/>
          <w:sz w:val="24"/>
          <w:szCs w:val="24"/>
        </w:rPr>
        <w:tab/>
      </w:r>
      <w:r w:rsidR="000E1803">
        <w:rPr>
          <w:rFonts w:ascii="Calibri" w:hAnsi="Calibri" w:cs="Arial"/>
          <w:sz w:val="24"/>
          <w:szCs w:val="24"/>
        </w:rPr>
        <w:tab/>
      </w:r>
      <w:sdt>
        <w:sdtPr>
          <w:rPr>
            <w:rFonts w:ascii="Calibri" w:hAnsi="Calibri" w:cs="Arial"/>
            <w:b/>
            <w:sz w:val="24"/>
            <w:szCs w:val="24"/>
          </w:rPr>
          <w:id w:val="962808253"/>
          <w14:checkbox>
            <w14:checked w14:val="1"/>
            <w14:checkedState w14:val="2612" w14:font="MS Gothic"/>
            <w14:uncheckedState w14:val="2610" w14:font="MS Gothic"/>
          </w14:checkbox>
        </w:sdtPr>
        <w:sdtEndPr/>
        <w:sdtContent>
          <w:r w:rsidR="000E1803">
            <w:rPr>
              <w:rFonts w:ascii="MS Gothic" w:eastAsia="MS Gothic" w:hAnsi="MS Gothic" w:cs="Arial" w:hint="eastAsia"/>
              <w:b/>
              <w:sz w:val="24"/>
              <w:szCs w:val="24"/>
            </w:rPr>
            <w:t>☒</w:t>
          </w:r>
        </w:sdtContent>
      </w:sdt>
      <w:r w:rsidR="000E1803">
        <w:rPr>
          <w:rFonts w:ascii="Calibri" w:hAnsi="Calibri" w:cs="Arial"/>
          <w:sz w:val="24"/>
          <w:szCs w:val="24"/>
        </w:rPr>
        <w:t xml:space="preserve"> </w:t>
      </w:r>
      <w:r w:rsidR="000E1803">
        <w:rPr>
          <w:rFonts w:ascii="Calibri" w:hAnsi="Calibri" w:cs="Arial"/>
        </w:rPr>
        <w:t>Input</w:t>
      </w:r>
    </w:p>
    <w:p w14:paraId="143C57F1" w14:textId="77777777" w:rsidR="009478AB" w:rsidRDefault="0084434F">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0E1803">
            <w:rPr>
              <w:rFonts w:ascii="MS Gothic" w:eastAsia="MS Gothic" w:hAnsi="MS Gothic" w:cs="Arial" w:hint="eastAsia"/>
              <w:b/>
            </w:rPr>
            <w:t>☐</w:t>
          </w:r>
        </w:sdtContent>
      </w:sdt>
      <w:r w:rsidR="000E1803">
        <w:rPr>
          <w:rFonts w:ascii="Calibri" w:hAnsi="Calibri" w:cs="Arial"/>
        </w:rPr>
        <w:t xml:space="preserve"> ENAV</w:t>
      </w:r>
      <w:r w:rsidR="000E1803">
        <w:rPr>
          <w:rFonts w:ascii="Calibri" w:hAnsi="Calibri" w:cs="Arial"/>
          <w:b/>
        </w:rPr>
        <w:tab/>
      </w:r>
      <w:sdt>
        <w:sdtPr>
          <w:rPr>
            <w:rFonts w:ascii="Calibri" w:hAnsi="Calibri" w:cs="Arial"/>
            <w:b/>
          </w:rPr>
          <w:id w:val="1574472571"/>
          <w14:checkbox>
            <w14:checked w14:val="1"/>
            <w14:checkedState w14:val="2612" w14:font="MS Gothic"/>
            <w14:uncheckedState w14:val="2610" w14:font="MS Gothic"/>
          </w14:checkbox>
        </w:sdtPr>
        <w:sdtEndPr/>
        <w:sdtContent>
          <w:r w:rsidR="000E1803">
            <w:rPr>
              <w:rFonts w:ascii="MS Gothic" w:eastAsia="MS Gothic" w:hAnsi="MS Gothic" w:cs="Arial" w:hint="eastAsia"/>
              <w:b/>
            </w:rPr>
            <w:t>☒</w:t>
          </w:r>
        </w:sdtContent>
      </w:sdt>
      <w:r w:rsidR="000E1803">
        <w:rPr>
          <w:rFonts w:ascii="Calibri" w:hAnsi="Calibri" w:cs="Arial"/>
        </w:rPr>
        <w:t xml:space="preserve"> VTS</w:t>
      </w:r>
      <w:r w:rsidR="000E1803">
        <w:rPr>
          <w:rFonts w:ascii="Calibri" w:hAnsi="Calibri" w:cs="Arial"/>
        </w:rPr>
        <w:tab/>
      </w:r>
      <w:r w:rsidR="000E1803">
        <w:rPr>
          <w:rFonts w:ascii="Calibri" w:hAnsi="Calibri" w:cs="Arial"/>
        </w:rPr>
        <w:tab/>
      </w:r>
      <w:r w:rsidR="000E1803">
        <w:rPr>
          <w:rFonts w:ascii="Calibri" w:hAnsi="Calibri" w:cs="Arial"/>
        </w:rPr>
        <w:tab/>
      </w:r>
      <w:r w:rsidR="000E1803">
        <w:rPr>
          <w:rFonts w:ascii="Calibri" w:hAnsi="Calibri" w:cs="Arial"/>
        </w:rPr>
        <w:tab/>
      </w:r>
      <w:r w:rsidR="000E1803">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0E1803">
            <w:rPr>
              <w:rFonts w:ascii="MS Gothic" w:eastAsia="MS Gothic" w:hAnsi="MS Gothic" w:cs="Arial" w:hint="eastAsia"/>
              <w:b/>
            </w:rPr>
            <w:t>☐</w:t>
          </w:r>
        </w:sdtContent>
      </w:sdt>
      <w:r w:rsidR="000E1803">
        <w:rPr>
          <w:rFonts w:ascii="Calibri" w:hAnsi="Calibri" w:cs="Arial"/>
        </w:rPr>
        <w:t xml:space="preserve"> Information</w:t>
      </w:r>
    </w:p>
    <w:p w14:paraId="6A067ED5" w14:textId="77777777" w:rsidR="009478AB" w:rsidRDefault="009478AB">
      <w:pPr>
        <w:pStyle w:val="BodyText"/>
        <w:tabs>
          <w:tab w:val="left" w:pos="2835"/>
        </w:tabs>
        <w:rPr>
          <w:rFonts w:ascii="Calibri" w:hAnsi="Calibri"/>
        </w:rPr>
      </w:pPr>
    </w:p>
    <w:p w14:paraId="163C99C2" w14:textId="54033837" w:rsidR="009478AB" w:rsidRDefault="000E1803">
      <w:pPr>
        <w:pStyle w:val="BodyText"/>
        <w:tabs>
          <w:tab w:val="left" w:pos="2835"/>
        </w:tabs>
        <w:rPr>
          <w:rFonts w:ascii="Calibri" w:hAnsi="Calibri"/>
        </w:rPr>
      </w:pPr>
      <w:r>
        <w:rPr>
          <w:rFonts w:ascii="Calibri" w:hAnsi="Calibri"/>
          <w:b/>
          <w:bCs/>
          <w:color w:val="00558C"/>
          <w:sz w:val="24"/>
          <w:szCs w:val="24"/>
        </w:rPr>
        <w:t>Agenda item</w:t>
      </w:r>
      <w:r>
        <w:rPr>
          <w:rFonts w:ascii="Calibri" w:hAnsi="Calibri"/>
        </w:rPr>
        <w:t xml:space="preserve"> </w:t>
      </w:r>
      <w:r>
        <w:rPr>
          <w:rFonts w:ascii="Calibri" w:hAnsi="Calibri"/>
        </w:rPr>
        <w:tab/>
      </w:r>
      <w:r>
        <w:rPr>
          <w:rFonts w:ascii="Calibri" w:hAnsi="Calibri"/>
        </w:rPr>
        <w:tab/>
      </w:r>
      <w:r>
        <w:rPr>
          <w:rFonts w:ascii="Calibri" w:hAnsi="Calibri"/>
        </w:rPr>
        <w:tab/>
      </w:r>
      <w:r w:rsidR="00711EDE">
        <w:rPr>
          <w:rFonts w:ascii="Calibri" w:hAnsi="Calibri"/>
        </w:rPr>
        <w:t>6.2</w:t>
      </w:r>
    </w:p>
    <w:p w14:paraId="064A72A3" w14:textId="77777777" w:rsidR="009478AB" w:rsidRDefault="000E1803">
      <w:pPr>
        <w:pStyle w:val="BodyText"/>
        <w:tabs>
          <w:tab w:val="left" w:pos="2835"/>
        </w:tabs>
        <w:rPr>
          <w:rFonts w:ascii="Calibri" w:hAnsi="Calibri"/>
          <w:color w:val="FF0000"/>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t>China Maritime Safety Administration</w:t>
      </w:r>
    </w:p>
    <w:p w14:paraId="711C7B07" w14:textId="77777777" w:rsidR="009478AB" w:rsidRDefault="000E1803">
      <w:pPr>
        <w:pStyle w:val="BodyText"/>
        <w:tabs>
          <w:tab w:val="left" w:pos="7860"/>
        </w:tabs>
        <w:rPr>
          <w:rFonts w:ascii="Calibri" w:hAnsi="Calibri"/>
        </w:rPr>
      </w:pPr>
      <w:r>
        <w:rPr>
          <w:rFonts w:ascii="Calibri" w:hAnsi="Calibri"/>
        </w:rPr>
        <w:tab/>
      </w:r>
    </w:p>
    <w:p w14:paraId="6CA8B500" w14:textId="77777777" w:rsidR="009478AB" w:rsidRDefault="000E1803">
      <w:pPr>
        <w:pStyle w:val="Title"/>
      </w:pPr>
      <w:r>
        <w:t xml:space="preserve">PROPOSAL TO DEVELOP GUIDELINES </w:t>
      </w:r>
      <w:r>
        <w:rPr>
          <w:rFonts w:eastAsia="SimSun" w:hint="eastAsia"/>
          <w:lang w:val="en-US" w:eastAsia="zh-CN"/>
        </w:rPr>
        <w:t>on</w:t>
      </w:r>
      <w:r>
        <w:t xml:space="preserve"> RESPONSE TO ADVERSE ENVIRONMENTAL CONDITIONS AS A NEW TASK FOR THE WORK PROGRAMME  2027-2030</w:t>
      </w:r>
    </w:p>
    <w:p w14:paraId="1F34ABC6" w14:textId="77777777" w:rsidR="009478AB" w:rsidRDefault="000E1803">
      <w:pPr>
        <w:pStyle w:val="Heading1"/>
      </w:pPr>
      <w:r>
        <w:rPr>
          <w:rFonts w:hint="eastAsia"/>
          <w:lang w:val="en-US" w:eastAsia="zh-CN"/>
        </w:rPr>
        <w:t>S</w:t>
      </w:r>
      <w:r>
        <w:rPr>
          <w:lang w:val="en-US" w:eastAsia="zh-CN"/>
        </w:rPr>
        <w:t>UMMARY</w:t>
      </w:r>
    </w:p>
    <w:p w14:paraId="42AE9EA0" w14:textId="25E3A777" w:rsidR="009478AB" w:rsidRDefault="000E1803">
      <w:pPr>
        <w:pStyle w:val="BodyText"/>
        <w:rPr>
          <w:rFonts w:ascii="Calibri" w:hAnsi="Calibri"/>
          <w:lang w:val="en-US" w:eastAsia="de-DE"/>
        </w:rPr>
      </w:pPr>
      <w:r>
        <w:rPr>
          <w:rFonts w:ascii="Calibri" w:hAnsi="Calibri"/>
          <w:lang w:eastAsia="zh-CN"/>
        </w:rPr>
        <w:t>VTS provider</w:t>
      </w:r>
      <w:r>
        <w:rPr>
          <w:rFonts w:ascii="Calibri" w:hAnsi="Calibri"/>
          <w:lang w:val="en-US" w:eastAsia="zh-CN"/>
        </w:rPr>
        <w:t>s</w:t>
      </w:r>
      <w:r>
        <w:rPr>
          <w:rFonts w:ascii="Calibri" w:hAnsi="Calibri"/>
          <w:lang w:eastAsia="de-DE"/>
        </w:rPr>
        <w:t xml:space="preserve"> worldwide are affected to varying degrees by various adverse environmental conditions. However, existing international instruments contain only fragmented provisions regarding adverse environmental conditions, and management measures and operational standards </w:t>
      </w:r>
      <w:r>
        <w:rPr>
          <w:rFonts w:ascii="Calibri" w:hAnsi="Calibri"/>
          <w:lang w:val="en-US" w:eastAsia="de-DE"/>
        </w:rPr>
        <w:t xml:space="preserve">vary </w:t>
      </w:r>
      <w:r>
        <w:rPr>
          <w:rFonts w:ascii="Calibri" w:hAnsi="Calibri"/>
          <w:lang w:eastAsia="de-DE"/>
        </w:rPr>
        <w:t>among different countries. This document</w:t>
      </w:r>
      <w:r>
        <w:rPr>
          <w:rFonts w:ascii="Calibri" w:hAnsi="Calibri"/>
          <w:lang w:val="en-US" w:eastAsia="de-DE"/>
        </w:rPr>
        <w:t xml:space="preserve"> </w:t>
      </w:r>
      <w:r>
        <w:rPr>
          <w:rFonts w:ascii="Calibri" w:hAnsi="Calibri"/>
          <w:lang w:eastAsia="de-DE"/>
        </w:rPr>
        <w:t>proposes to include the development of Guid</w:t>
      </w:r>
      <w:r>
        <w:rPr>
          <w:rFonts w:ascii="Calibri" w:hAnsi="Calibri"/>
          <w:lang w:val="en-US" w:eastAsia="de-DE"/>
        </w:rPr>
        <w:t>elines</w:t>
      </w:r>
      <w:r>
        <w:rPr>
          <w:rFonts w:ascii="Calibri" w:hAnsi="Calibri"/>
          <w:lang w:eastAsia="de-DE"/>
        </w:rPr>
        <w:t xml:space="preserve"> </w:t>
      </w:r>
      <w:r>
        <w:rPr>
          <w:rFonts w:ascii="Calibri" w:hAnsi="Calibri"/>
          <w:lang w:val="en-US" w:eastAsia="de-DE"/>
        </w:rPr>
        <w:t>for</w:t>
      </w:r>
      <w:r>
        <w:rPr>
          <w:rFonts w:ascii="Calibri" w:hAnsi="Calibri"/>
          <w:lang w:eastAsia="de-DE"/>
        </w:rPr>
        <w:t xml:space="preserve"> Response </w:t>
      </w:r>
      <w:r>
        <w:rPr>
          <w:rFonts w:ascii="Calibri" w:hAnsi="Calibri"/>
          <w:lang w:val="en-US" w:eastAsia="de-DE"/>
        </w:rPr>
        <w:t>to</w:t>
      </w:r>
      <w:r>
        <w:rPr>
          <w:rFonts w:ascii="Calibri" w:hAnsi="Calibri"/>
          <w:lang w:eastAsia="de-DE"/>
        </w:rPr>
        <w:t xml:space="preserve"> Adverse Environmental Conditions</w:t>
      </w:r>
      <w:r>
        <w:rPr>
          <w:rFonts w:ascii="Calibri" w:hAnsi="Calibri"/>
          <w:lang w:val="en-US" w:eastAsia="de-DE"/>
        </w:rPr>
        <w:t xml:space="preserve"> </w:t>
      </w:r>
      <w:r>
        <w:rPr>
          <w:rFonts w:ascii="Calibri" w:hAnsi="Calibri"/>
          <w:lang w:eastAsia="de-DE"/>
        </w:rPr>
        <w:t>in the Work Programme 2027-2030. It elaborates on the necessity, feasibility, and development approach for such Guid</w:t>
      </w:r>
      <w:r>
        <w:rPr>
          <w:rFonts w:ascii="Calibri" w:hAnsi="Calibri"/>
          <w:lang w:val="en-US" w:eastAsia="de-DE"/>
        </w:rPr>
        <w:t>elines</w:t>
      </w:r>
      <w:r>
        <w:rPr>
          <w:rFonts w:ascii="Calibri" w:hAnsi="Calibri"/>
          <w:lang w:eastAsia="de-DE"/>
        </w:rPr>
        <w:t>, with a supporting IALA Task Register attached for the Committee</w:t>
      </w:r>
      <w:r>
        <w:rPr>
          <w:rFonts w:ascii="Calibri" w:hAnsi="Calibri"/>
          <w:lang w:val="en-US" w:eastAsia="de-DE"/>
        </w:rPr>
        <w:t>’</w:t>
      </w:r>
      <w:r>
        <w:rPr>
          <w:rFonts w:ascii="Calibri" w:hAnsi="Calibri"/>
          <w:lang w:eastAsia="de-DE"/>
        </w:rPr>
        <w:t>s consideration</w:t>
      </w:r>
      <w:r>
        <w:rPr>
          <w:rFonts w:ascii="Calibri" w:hAnsi="Calibri"/>
          <w:lang w:val="en-US" w:eastAsia="de-DE"/>
        </w:rPr>
        <w:t>.</w:t>
      </w:r>
    </w:p>
    <w:p w14:paraId="400835D8" w14:textId="77777777" w:rsidR="009478AB" w:rsidRDefault="000E1803">
      <w:pPr>
        <w:pStyle w:val="Heading2"/>
        <w:rPr>
          <w:lang w:val="en-US" w:eastAsia="zh-CN"/>
        </w:rPr>
      </w:pPr>
      <w:r>
        <w:t>document</w:t>
      </w:r>
      <w:r>
        <w:rPr>
          <w:lang w:val="en-US"/>
        </w:rPr>
        <w:t xml:space="preserve"> </w:t>
      </w:r>
      <w:r>
        <w:t>Purpose</w:t>
      </w:r>
    </w:p>
    <w:p w14:paraId="16067185" w14:textId="77777777" w:rsidR="009478AB" w:rsidRDefault="000E1803">
      <w:pPr>
        <w:pStyle w:val="BodyText"/>
        <w:rPr>
          <w:rFonts w:ascii="Calibri" w:hAnsi="Calibri"/>
          <w:lang w:val="en-US" w:eastAsia="zh-CN"/>
        </w:rPr>
      </w:pPr>
      <w:r>
        <w:rPr>
          <w:rFonts w:ascii="Calibri" w:hAnsi="Calibri"/>
          <w:lang w:eastAsia="de-DE"/>
        </w:rPr>
        <w:t>The purpose of this document is to propos</w:t>
      </w:r>
      <w:r>
        <w:rPr>
          <w:rFonts w:ascii="Calibri" w:hAnsi="Calibri"/>
          <w:lang w:val="en-US" w:eastAsia="de-DE"/>
        </w:rPr>
        <w:t xml:space="preserve">e </w:t>
      </w:r>
      <w:r>
        <w:rPr>
          <w:rFonts w:ascii="Calibri" w:hAnsi="Calibri"/>
          <w:lang w:eastAsia="de-DE"/>
        </w:rPr>
        <w:t>that the</w:t>
      </w:r>
      <w:r>
        <w:rPr>
          <w:rFonts w:ascii="Calibri" w:hAnsi="Calibri"/>
          <w:lang w:val="en-US" w:eastAsia="de-DE"/>
        </w:rPr>
        <w:t xml:space="preserve"> </w:t>
      </w:r>
      <w:r>
        <w:rPr>
          <w:rFonts w:ascii="Calibri" w:hAnsi="Calibri" w:hint="eastAsia"/>
          <w:lang w:val="en-US" w:eastAsia="de-DE"/>
        </w:rPr>
        <w:t>develop</w:t>
      </w:r>
      <w:r>
        <w:rPr>
          <w:rFonts w:ascii="Calibri" w:hAnsi="Calibri"/>
          <w:lang w:val="en-US" w:eastAsia="de-DE"/>
        </w:rPr>
        <w:t xml:space="preserve">ment </w:t>
      </w:r>
      <w:r>
        <w:rPr>
          <w:rFonts w:ascii="Calibri" w:hAnsi="Calibri"/>
          <w:lang w:eastAsia="de-DE"/>
        </w:rPr>
        <w:t xml:space="preserve">of the </w:t>
      </w:r>
      <w:r>
        <w:rPr>
          <w:rFonts w:ascii="Calibri" w:hAnsi="Calibri" w:hint="eastAsia"/>
          <w:lang w:eastAsia="de-DE"/>
        </w:rPr>
        <w:t>Guid</w:t>
      </w:r>
      <w:r>
        <w:rPr>
          <w:rFonts w:ascii="Calibri" w:hAnsi="Calibri"/>
          <w:lang w:val="en-US" w:eastAsia="de-DE"/>
        </w:rPr>
        <w:t>elines</w:t>
      </w:r>
      <w:r>
        <w:rPr>
          <w:rFonts w:ascii="Calibri" w:hAnsi="Calibri"/>
          <w:lang w:eastAsia="de-DE"/>
        </w:rPr>
        <w:t xml:space="preserve"> </w:t>
      </w:r>
      <w:r>
        <w:rPr>
          <w:rFonts w:ascii="Calibri" w:hAnsi="Calibri"/>
          <w:lang w:val="en-US" w:eastAsia="de-DE"/>
        </w:rPr>
        <w:t>for</w:t>
      </w:r>
      <w:r>
        <w:rPr>
          <w:rFonts w:ascii="Calibri" w:hAnsi="Calibri"/>
          <w:lang w:eastAsia="de-DE"/>
        </w:rPr>
        <w:t xml:space="preserve"> Response to Adverse </w:t>
      </w:r>
      <w:r>
        <w:rPr>
          <w:rFonts w:ascii="Calibri" w:hAnsi="Calibri" w:hint="eastAsia"/>
          <w:lang w:eastAsia="de-DE"/>
        </w:rPr>
        <w:t>Environmental</w:t>
      </w:r>
      <w:r>
        <w:rPr>
          <w:rFonts w:ascii="Calibri" w:hAnsi="Calibri"/>
          <w:lang w:eastAsia="de-DE"/>
        </w:rPr>
        <w:t xml:space="preserve"> Conditions be included in the </w:t>
      </w:r>
      <w:bookmarkStart w:id="1" w:name="OLE_LINK8"/>
      <w:r>
        <w:rPr>
          <w:rFonts w:ascii="Calibri" w:hAnsi="Calibri"/>
          <w:lang w:eastAsia="de-DE"/>
        </w:rPr>
        <w:t xml:space="preserve">Work Programme </w:t>
      </w:r>
      <w:bookmarkEnd w:id="1"/>
      <w:r>
        <w:rPr>
          <w:rFonts w:ascii="Calibri" w:hAnsi="Calibri"/>
          <w:lang w:eastAsia="de-DE"/>
        </w:rPr>
        <w:t>2027-2030.</w:t>
      </w:r>
      <w:r>
        <w:rPr>
          <w:rFonts w:ascii="Calibri" w:hAnsi="Calibri"/>
          <w:lang w:val="en-US" w:eastAsia="zh-CN"/>
        </w:rPr>
        <w:t xml:space="preserve"> </w:t>
      </w:r>
    </w:p>
    <w:p w14:paraId="103DAAD3" w14:textId="77777777" w:rsidR="009478AB" w:rsidRDefault="000E1803">
      <w:pPr>
        <w:pStyle w:val="Heading2"/>
      </w:pPr>
      <w:r>
        <w:t xml:space="preserve">Related documents </w:t>
      </w:r>
    </w:p>
    <w:p w14:paraId="28CF1A46" w14:textId="77777777" w:rsidR="009478AB" w:rsidRDefault="000E1803">
      <w:pPr>
        <w:pStyle w:val="BodyText"/>
        <w:rPr>
          <w:rFonts w:ascii="Calibri" w:hAnsi="Calibri"/>
          <w:lang w:eastAsia="de-DE"/>
        </w:rPr>
      </w:pPr>
      <w:bookmarkStart w:id="2" w:name="OLE_LINK7"/>
      <w:r>
        <w:rPr>
          <w:rFonts w:ascii="Calibri" w:hAnsi="Calibri"/>
          <w:lang w:eastAsia="de-DE"/>
        </w:rPr>
        <w:t>IMO Resolution A.1158(32) Guidelines for Vessel Traffic Service</w:t>
      </w:r>
    </w:p>
    <w:p w14:paraId="2C2FBD0F" w14:textId="77777777" w:rsidR="009478AB" w:rsidRDefault="000E1803">
      <w:pPr>
        <w:pStyle w:val="BodyText"/>
        <w:rPr>
          <w:rFonts w:ascii="Calibri" w:hAnsi="Calibri"/>
          <w:lang w:eastAsia="de-DE"/>
        </w:rPr>
      </w:pPr>
      <w:r>
        <w:rPr>
          <w:rFonts w:ascii="Calibri" w:hAnsi="Calibri"/>
          <w:lang w:eastAsia="de-DE"/>
        </w:rPr>
        <w:t>IALA S1040 Vessel Traffic Service</w:t>
      </w:r>
    </w:p>
    <w:p w14:paraId="3E74A2D2" w14:textId="77777777" w:rsidR="009478AB" w:rsidRDefault="000E1803">
      <w:pPr>
        <w:pStyle w:val="BodyText"/>
        <w:rPr>
          <w:rFonts w:ascii="Calibri" w:hAnsi="Calibri"/>
          <w:lang w:eastAsia="de-DE"/>
        </w:rPr>
      </w:pPr>
      <w:r>
        <w:rPr>
          <w:rFonts w:ascii="Calibri" w:hAnsi="Calibri"/>
          <w:lang w:eastAsia="de-DE"/>
        </w:rPr>
        <w:t>IALA R0127 VTS Operations</w:t>
      </w:r>
    </w:p>
    <w:p w14:paraId="1B9718E0" w14:textId="77777777" w:rsidR="009478AB" w:rsidRDefault="000E1803">
      <w:pPr>
        <w:pStyle w:val="BodyText"/>
        <w:rPr>
          <w:rFonts w:ascii="Calibri" w:hAnsi="Calibri"/>
          <w:lang w:eastAsia="de-DE"/>
        </w:rPr>
      </w:pPr>
      <w:r>
        <w:rPr>
          <w:rFonts w:ascii="Calibri" w:hAnsi="Calibri"/>
          <w:lang w:eastAsia="de-DE"/>
        </w:rPr>
        <w:t>IALA G1141 Operational Procedures for Delivering VTS</w:t>
      </w:r>
    </w:p>
    <w:p w14:paraId="0EA200E6" w14:textId="77777777" w:rsidR="009478AB" w:rsidRDefault="000E1803">
      <w:pPr>
        <w:pStyle w:val="BodyText"/>
        <w:rPr>
          <w:rFonts w:ascii="Calibri" w:hAnsi="Calibri"/>
          <w:lang w:eastAsia="de-DE"/>
        </w:rPr>
      </w:pPr>
      <w:r>
        <w:rPr>
          <w:rFonts w:ascii="Calibri" w:hAnsi="Calibri"/>
          <w:lang w:eastAsia="de-DE"/>
        </w:rPr>
        <w:t>IALA G1089 Provision of a VTS</w:t>
      </w:r>
    </w:p>
    <w:bookmarkEnd w:id="2"/>
    <w:p w14:paraId="780941E1" w14:textId="77777777" w:rsidR="009478AB" w:rsidRDefault="000E1803">
      <w:pPr>
        <w:pStyle w:val="Heading1"/>
      </w:pPr>
      <w:r>
        <w:t>Background</w:t>
      </w:r>
    </w:p>
    <w:p w14:paraId="16315C23" w14:textId="77777777" w:rsidR="009478AB" w:rsidRDefault="000E1803">
      <w:pPr>
        <w:pStyle w:val="BodyText"/>
        <w:rPr>
          <w:rFonts w:ascii="Calibri" w:hAnsi="Calibri"/>
          <w:lang w:eastAsia="de-DE"/>
        </w:rPr>
      </w:pPr>
      <w:r>
        <w:rPr>
          <w:rFonts w:ascii="Calibri" w:hAnsi="Calibri" w:hint="eastAsia"/>
          <w:lang w:eastAsia="zh-CN"/>
        </w:rPr>
        <w:t>VTS provider</w:t>
      </w:r>
      <w:r>
        <w:rPr>
          <w:rFonts w:ascii="Calibri" w:hAnsi="Calibri" w:hint="eastAsia"/>
          <w:lang w:val="en-US" w:eastAsia="zh-CN"/>
        </w:rPr>
        <w:t>s</w:t>
      </w:r>
      <w:r>
        <w:rPr>
          <w:rFonts w:ascii="Calibri" w:hAnsi="Calibri" w:hint="eastAsia"/>
          <w:lang w:eastAsia="de-DE"/>
        </w:rPr>
        <w:t xml:space="preserve"> worldwide are affected to varying degrees by adverse environmental conditions such as gales, dense fog, and strong currents during daily operations. According to the relevant requirements of IMO Resolution A.1158(32)</w:t>
      </w:r>
      <w:r>
        <w:rPr>
          <w:rFonts w:ascii="Calibri" w:hAnsi="Calibri"/>
          <w:lang w:val="en-US" w:eastAsia="de-DE"/>
        </w:rPr>
        <w:t>,</w:t>
      </w:r>
      <w:r>
        <w:rPr>
          <w:rFonts w:ascii="Calibri" w:hAnsi="Calibri" w:hint="eastAsia"/>
          <w:lang w:eastAsia="de-DE"/>
        </w:rPr>
        <w:t xml:space="preserve"> </w:t>
      </w:r>
      <w:r>
        <w:rPr>
          <w:rFonts w:ascii="Calibri" w:hAnsi="Calibri"/>
          <w:lang w:eastAsia="de-DE"/>
        </w:rPr>
        <w:t>Guidelines for Vessel Traffic Services</w:t>
      </w:r>
      <w:r>
        <w:rPr>
          <w:rFonts w:ascii="Calibri" w:hAnsi="Calibri" w:hint="eastAsia"/>
          <w:lang w:eastAsia="de-DE"/>
        </w:rPr>
        <w:t xml:space="preserve">, adverse environmental conditions such as low visibility and strong winds constitute unsafe situations that </w:t>
      </w:r>
      <w:r>
        <w:rPr>
          <w:rFonts w:ascii="Calibri" w:hAnsi="Calibri"/>
          <w:lang w:val="en-US" w:eastAsia="de-DE"/>
        </w:rPr>
        <w:t>requiring</w:t>
      </w:r>
      <w:r>
        <w:rPr>
          <w:rFonts w:ascii="Calibri" w:hAnsi="Calibri" w:hint="eastAsia"/>
          <w:lang w:eastAsia="de-DE"/>
        </w:rPr>
        <w:t xml:space="preserve"> proactively identif</w:t>
      </w:r>
      <w:r>
        <w:rPr>
          <w:rFonts w:ascii="Calibri" w:hAnsi="Calibri"/>
          <w:lang w:val="en-US" w:eastAsia="de-DE"/>
        </w:rPr>
        <w:t>ication</w:t>
      </w:r>
      <w:r>
        <w:rPr>
          <w:rFonts w:ascii="Calibri" w:hAnsi="Calibri" w:hint="eastAsia"/>
          <w:lang w:eastAsia="de-DE"/>
        </w:rPr>
        <w:t xml:space="preserve"> and respon</w:t>
      </w:r>
      <w:r>
        <w:rPr>
          <w:rFonts w:ascii="Calibri" w:hAnsi="Calibri"/>
          <w:lang w:val="en-US" w:eastAsia="de-DE"/>
        </w:rPr>
        <w:t>se by VTS.</w:t>
      </w:r>
      <w:r>
        <w:rPr>
          <w:rFonts w:ascii="Calibri" w:hAnsi="Calibri" w:hint="eastAsia"/>
          <w:lang w:eastAsia="de-DE"/>
        </w:rPr>
        <w:t xml:space="preserve"> VTS </w:t>
      </w:r>
      <w:r>
        <w:rPr>
          <w:rFonts w:ascii="Calibri" w:hAnsi="Calibri"/>
          <w:lang w:val="en-US" w:eastAsia="de-DE"/>
        </w:rPr>
        <w:t xml:space="preserve">should therefore </w:t>
      </w:r>
      <w:r>
        <w:rPr>
          <w:rFonts w:ascii="Calibri" w:hAnsi="Calibri" w:hint="eastAsia"/>
          <w:lang w:eastAsia="de-DE"/>
        </w:rPr>
        <w:t xml:space="preserve">possess </w:t>
      </w:r>
      <w:r>
        <w:rPr>
          <w:rFonts w:ascii="Calibri" w:hAnsi="Calibri"/>
          <w:lang w:val="en-US" w:eastAsia="de-DE"/>
        </w:rPr>
        <w:t>the capabilities to</w:t>
      </w:r>
      <w:r>
        <w:rPr>
          <w:rFonts w:ascii="Calibri" w:hAnsi="Calibri" w:hint="eastAsia"/>
          <w:lang w:eastAsia="de-DE"/>
        </w:rPr>
        <w:t xml:space="preserve"> monitor</w:t>
      </w:r>
      <w:r>
        <w:rPr>
          <w:rFonts w:ascii="Calibri" w:hAnsi="Calibri"/>
          <w:lang w:val="en-US" w:eastAsia="de-DE"/>
        </w:rPr>
        <w:t xml:space="preserve"> such situations</w:t>
      </w:r>
      <w:r>
        <w:rPr>
          <w:rFonts w:ascii="Calibri" w:hAnsi="Calibri" w:hint="eastAsia"/>
          <w:lang w:eastAsia="de-DE"/>
        </w:rPr>
        <w:t xml:space="preserve">, </w:t>
      </w:r>
      <w:r>
        <w:rPr>
          <w:rFonts w:ascii="Calibri" w:hAnsi="Calibri"/>
          <w:lang w:val="en-US" w:eastAsia="de-DE"/>
        </w:rPr>
        <w:t xml:space="preserve">issue early </w:t>
      </w:r>
      <w:r>
        <w:rPr>
          <w:rFonts w:ascii="Calibri" w:hAnsi="Calibri" w:hint="eastAsia"/>
          <w:lang w:eastAsia="de-DE"/>
        </w:rPr>
        <w:t>warning</w:t>
      </w:r>
      <w:r>
        <w:rPr>
          <w:rFonts w:ascii="Calibri" w:hAnsi="Calibri"/>
          <w:lang w:val="en-US" w:eastAsia="de-DE"/>
        </w:rPr>
        <w:t>s</w:t>
      </w:r>
      <w:r>
        <w:rPr>
          <w:rFonts w:ascii="Calibri" w:hAnsi="Calibri" w:hint="eastAsia"/>
          <w:lang w:eastAsia="de-DE"/>
        </w:rPr>
        <w:t>, and</w:t>
      </w:r>
      <w:r>
        <w:rPr>
          <w:rFonts w:ascii="Calibri" w:hAnsi="Calibri"/>
          <w:lang w:val="en-US" w:eastAsia="de-DE"/>
        </w:rPr>
        <w:t xml:space="preserve"> </w:t>
      </w:r>
      <w:r>
        <w:rPr>
          <w:rFonts w:ascii="Calibri" w:hAnsi="Calibri"/>
          <w:lang w:val="en-US" w:eastAsia="de-DE"/>
        </w:rPr>
        <w:lastRenderedPageBreak/>
        <w:t>implement</w:t>
      </w:r>
      <w:r>
        <w:rPr>
          <w:rFonts w:ascii="Calibri" w:hAnsi="Calibri" w:hint="eastAsia"/>
          <w:lang w:eastAsia="de-DE"/>
        </w:rPr>
        <w:t xml:space="preserve"> response</w:t>
      </w:r>
      <w:r>
        <w:rPr>
          <w:rFonts w:ascii="Calibri" w:hAnsi="Calibri"/>
          <w:lang w:val="en-US" w:eastAsia="de-DE"/>
        </w:rPr>
        <w:t xml:space="preserve"> measures</w:t>
      </w:r>
      <w:r>
        <w:rPr>
          <w:rFonts w:ascii="Calibri" w:hAnsi="Calibri" w:hint="eastAsia"/>
          <w:lang w:eastAsia="de-DE"/>
        </w:rPr>
        <w:t>. However, th</w:t>
      </w:r>
      <w:r>
        <w:rPr>
          <w:rFonts w:ascii="Calibri" w:hAnsi="Calibri"/>
          <w:lang w:val="en-US" w:eastAsia="de-DE"/>
        </w:rPr>
        <w:t>e</w:t>
      </w:r>
      <w:r>
        <w:rPr>
          <w:rFonts w:ascii="Calibri" w:hAnsi="Calibri" w:hint="eastAsia"/>
          <w:lang w:eastAsia="de-DE"/>
        </w:rPr>
        <w:t xml:space="preserve"> Resolution only provides </w:t>
      </w:r>
      <w:r>
        <w:rPr>
          <w:rFonts w:ascii="Calibri" w:hAnsi="Calibri"/>
          <w:lang w:eastAsia="de-DE"/>
        </w:rPr>
        <w:t>general</w:t>
      </w:r>
      <w:r>
        <w:rPr>
          <w:rFonts w:ascii="Calibri" w:hAnsi="Calibri" w:hint="eastAsia"/>
          <w:lang w:eastAsia="de-DE"/>
        </w:rPr>
        <w:t xml:space="preserve"> guidance without detailed operational procedures.</w:t>
      </w:r>
    </w:p>
    <w:p w14:paraId="7EA866E1" w14:textId="77777777" w:rsidR="009478AB" w:rsidRDefault="000E1803">
      <w:pPr>
        <w:pStyle w:val="BodyText"/>
        <w:rPr>
          <w:rFonts w:ascii="Calibri" w:hAnsi="Calibri"/>
          <w:lang w:eastAsia="de-DE"/>
        </w:rPr>
      </w:pPr>
      <w:r>
        <w:rPr>
          <w:rFonts w:ascii="Calibri" w:hAnsi="Calibri" w:hint="eastAsia"/>
          <w:lang w:eastAsia="de-DE"/>
        </w:rPr>
        <w:t>IALA has established a comprehensive system</w:t>
      </w:r>
      <w:r>
        <w:rPr>
          <w:rFonts w:ascii="Calibri" w:hAnsi="Calibri"/>
          <w:lang w:val="en-US" w:eastAsia="de-DE"/>
        </w:rPr>
        <w:t xml:space="preserve"> of standards</w:t>
      </w:r>
      <w:r>
        <w:rPr>
          <w:rFonts w:ascii="Calibri" w:hAnsi="Calibri" w:hint="eastAsia"/>
          <w:lang w:eastAsia="de-DE"/>
        </w:rPr>
        <w:t xml:space="preserve"> covering various aspects of VTS operations, technology, and training. However, no dedicated guidance document addressing scenarios of adverse environmental conditions has yet been developed. With global climate change, the frequency of extreme weather events such as typhoons, storm surges, and short-duration severe convective weather continues to rise, and compound disasters have increased significantly. The existing fragmented provisions</w:t>
      </w:r>
      <w:r>
        <w:rPr>
          <w:rFonts w:ascii="Calibri" w:hAnsi="Calibri" w:hint="eastAsia"/>
          <w:lang w:val="en-US" w:eastAsia="zh-CN"/>
        </w:rPr>
        <w:t xml:space="preserve">, </w:t>
      </w:r>
      <w:r>
        <w:rPr>
          <w:rFonts w:ascii="Calibri" w:hAnsi="Calibri" w:hint="eastAsia"/>
          <w:lang w:eastAsia="de-DE"/>
        </w:rPr>
        <w:t>scattered</w:t>
      </w:r>
      <w:r>
        <w:rPr>
          <w:rFonts w:ascii="Calibri" w:hAnsi="Calibri" w:hint="eastAsia"/>
          <w:lang w:val="en-US" w:eastAsia="zh-CN"/>
        </w:rPr>
        <w:t xml:space="preserve"> across</w:t>
      </w:r>
      <w:r>
        <w:rPr>
          <w:rFonts w:ascii="Calibri" w:hAnsi="Calibri" w:hint="eastAsia"/>
          <w:lang w:eastAsia="de-DE"/>
        </w:rPr>
        <w:t xml:space="preserve"> multiple IALA documents</w:t>
      </w:r>
      <w:r>
        <w:rPr>
          <w:rFonts w:ascii="Calibri" w:hAnsi="Calibri" w:hint="eastAsia"/>
          <w:lang w:val="en-US" w:eastAsia="zh-CN"/>
        </w:rPr>
        <w:t xml:space="preserve">, </w:t>
      </w:r>
      <w:r>
        <w:rPr>
          <w:rFonts w:ascii="Calibri" w:hAnsi="Calibri" w:hint="eastAsia"/>
          <w:lang w:eastAsia="de-DE"/>
        </w:rPr>
        <w:t>have limited coverage and cannot adequately address the needs of VTS in responding to risks associated with adverse environmental conditions.</w:t>
      </w:r>
    </w:p>
    <w:p w14:paraId="1D7FC079" w14:textId="77777777" w:rsidR="009478AB" w:rsidRDefault="000E1803">
      <w:pPr>
        <w:pStyle w:val="BodyText"/>
        <w:rPr>
          <w:rFonts w:ascii="Calibri" w:hAnsi="Calibri"/>
          <w:lang w:val="en-US" w:eastAsia="zh-CN"/>
        </w:rPr>
      </w:pPr>
      <w:r>
        <w:rPr>
          <w:rFonts w:ascii="Calibri" w:hAnsi="Calibri" w:hint="eastAsia"/>
          <w:lang w:val="en-US" w:eastAsia="zh-CN"/>
        </w:rPr>
        <w:t>Individual VTS providers can only rely on scattered provisions to independently develop local response rules and operational procedures, resulting in varying levels of implementation. The industry lacks a comprehensive, closed-loop, and harmonized specialized guidance document.</w:t>
      </w:r>
    </w:p>
    <w:p w14:paraId="4907A9D0" w14:textId="77777777" w:rsidR="009478AB" w:rsidRDefault="000E1803">
      <w:pPr>
        <w:pStyle w:val="Heading1"/>
      </w:pPr>
      <w:r>
        <w:t>Discussion</w:t>
      </w:r>
    </w:p>
    <w:p w14:paraId="460A71D2" w14:textId="77777777" w:rsidR="009478AB" w:rsidRDefault="000E1803">
      <w:pPr>
        <w:pStyle w:val="Heading2"/>
        <w:rPr>
          <w:lang w:val="en-US" w:eastAsia="zh-CN"/>
        </w:rPr>
      </w:pPr>
      <w:r>
        <w:t>Necessity</w:t>
      </w:r>
      <w:r>
        <w:rPr>
          <w:lang w:val="en-US" w:eastAsia="zh-CN"/>
        </w:rPr>
        <w:t xml:space="preserve"> </w:t>
      </w:r>
    </w:p>
    <w:p w14:paraId="19BD564A" w14:textId="77777777" w:rsidR="009478AB" w:rsidRDefault="000E1803">
      <w:pPr>
        <w:pStyle w:val="Heading3"/>
        <w:tabs>
          <w:tab w:val="clear" w:pos="283"/>
        </w:tabs>
      </w:pPr>
      <w:r>
        <w:t xml:space="preserve">Filling </w:t>
      </w:r>
      <w:r>
        <w:rPr>
          <w:rFonts w:hint="eastAsia"/>
        </w:rPr>
        <w:t>the</w:t>
      </w:r>
      <w:r>
        <w:t xml:space="preserve"> </w:t>
      </w:r>
      <w:r>
        <w:rPr>
          <w:sz w:val="28"/>
          <w:szCs w:val="28"/>
        </w:rPr>
        <w:t>g</w:t>
      </w:r>
      <w:r>
        <w:t xml:space="preserve">ap in </w:t>
      </w:r>
      <w:r>
        <w:rPr>
          <w:sz w:val="28"/>
          <w:szCs w:val="28"/>
        </w:rPr>
        <w:t>e</w:t>
      </w:r>
      <w:r>
        <w:t xml:space="preserve">xisting </w:t>
      </w:r>
      <w:r>
        <w:rPr>
          <w:sz w:val="28"/>
          <w:szCs w:val="28"/>
        </w:rPr>
        <w:t>iala</w:t>
      </w:r>
      <w:r>
        <w:t xml:space="preserve"> </w:t>
      </w:r>
      <w:r>
        <w:rPr>
          <w:sz w:val="28"/>
          <w:szCs w:val="28"/>
        </w:rPr>
        <w:t>o</w:t>
      </w:r>
      <w:r>
        <w:t xml:space="preserve">perational </w:t>
      </w:r>
      <w:r>
        <w:rPr>
          <w:sz w:val="28"/>
          <w:szCs w:val="28"/>
        </w:rPr>
        <w:t>g</w:t>
      </w:r>
      <w:r>
        <w:t>uidelines</w:t>
      </w:r>
    </w:p>
    <w:p w14:paraId="0FA415ED" w14:textId="77777777" w:rsidR="009478AB" w:rsidRDefault="000E1803">
      <w:pPr>
        <w:pStyle w:val="BodyText"/>
        <w:rPr>
          <w:rFonts w:ascii="Calibri" w:hAnsi="Calibri"/>
          <w:lang w:eastAsia="de-DE"/>
        </w:rPr>
      </w:pPr>
      <w:r>
        <w:rPr>
          <w:rFonts w:ascii="Calibri" w:hAnsi="Calibri" w:hint="eastAsia"/>
          <w:lang w:eastAsia="de-DE"/>
        </w:rPr>
        <w:t xml:space="preserve">In existing IALA documents, G1089 specifies that </w:t>
      </w:r>
      <w:r>
        <w:rPr>
          <w:rFonts w:ascii="Calibri" w:hAnsi="Calibri" w:hint="eastAsia"/>
          <w:lang w:val="en-US" w:eastAsia="zh-CN"/>
        </w:rPr>
        <w:t>t</w:t>
      </w:r>
      <w:r>
        <w:rPr>
          <w:rFonts w:ascii="Calibri" w:hAnsi="Calibri" w:hint="eastAsia"/>
          <w:lang w:eastAsia="de-DE"/>
        </w:rPr>
        <w:t>he provision of timely and relevant information on factors that may influence the ship</w:t>
      </w:r>
      <w:r>
        <w:rPr>
          <w:rFonts w:ascii="Calibri" w:hAnsi="Calibri"/>
          <w:lang w:val="en-US" w:eastAsia="de-DE"/>
        </w:rPr>
        <w:t>’</w:t>
      </w:r>
      <w:r>
        <w:rPr>
          <w:rFonts w:ascii="Calibri" w:hAnsi="Calibri" w:hint="eastAsia"/>
          <w:lang w:eastAsia="de-DE"/>
        </w:rPr>
        <w:t>s movements and assist on-board decision making should be provided</w:t>
      </w:r>
      <w:r>
        <w:rPr>
          <w:rFonts w:ascii="Calibri" w:hAnsi="Calibri"/>
          <w:lang w:val="en-US" w:eastAsia="de-DE"/>
        </w:rPr>
        <w:t xml:space="preserve">. Such information may include but is not limited to: </w:t>
      </w:r>
      <w:r>
        <w:rPr>
          <w:rFonts w:ascii="Calibri" w:hAnsi="Calibri" w:hint="eastAsia"/>
          <w:lang w:eastAsia="de-DE"/>
        </w:rPr>
        <w:t xml:space="preserve">wind, </w:t>
      </w:r>
      <w:r>
        <w:rPr>
          <w:rFonts w:ascii="Calibri" w:hAnsi="Calibri" w:hint="eastAsia"/>
          <w:lang w:eastAsia="zh-CN"/>
        </w:rPr>
        <w:t>waves</w:t>
      </w:r>
      <w:r>
        <w:rPr>
          <w:rFonts w:ascii="Calibri" w:hAnsi="Calibri" w:hint="eastAsia"/>
          <w:lang w:eastAsia="de-DE"/>
        </w:rPr>
        <w:t>, visibility, ice</w:t>
      </w:r>
      <w:r>
        <w:rPr>
          <w:rFonts w:ascii="Calibri" w:hAnsi="Calibri"/>
          <w:lang w:val="en-US" w:eastAsia="de-DE"/>
        </w:rPr>
        <w:t xml:space="preserve">, </w:t>
      </w:r>
      <w:r>
        <w:rPr>
          <w:rFonts w:ascii="Calibri" w:hAnsi="Calibri" w:hint="eastAsia"/>
          <w:lang w:val="en-US" w:eastAsia="zh-CN"/>
        </w:rPr>
        <w:t>tide,</w:t>
      </w:r>
      <w:r>
        <w:rPr>
          <w:rFonts w:ascii="Calibri" w:hAnsi="Calibri"/>
          <w:lang w:val="en-US" w:eastAsia="de-DE"/>
        </w:rPr>
        <w:t xml:space="preserve"> etc. </w:t>
      </w:r>
      <w:r>
        <w:rPr>
          <w:rFonts w:ascii="Calibri" w:hAnsi="Calibri" w:hint="eastAsia"/>
          <w:lang w:eastAsia="de-DE"/>
        </w:rPr>
        <w:t xml:space="preserve">G1141 mentions that </w:t>
      </w:r>
      <w:r>
        <w:rPr>
          <w:rFonts w:ascii="Calibri" w:hAnsi="Calibri" w:hint="eastAsia"/>
          <w:lang w:val="en-US" w:eastAsia="zh-CN"/>
        </w:rPr>
        <w:t xml:space="preserve">in </w:t>
      </w:r>
      <w:r>
        <w:rPr>
          <w:rFonts w:ascii="Calibri" w:hAnsi="Calibri"/>
          <w:lang w:val="en-US" w:eastAsia="de-DE"/>
        </w:rPr>
        <w:t xml:space="preserve">situations of adverse environmental conditions within the VTS area, such as poor visibility, strong currents or tidal streams, high winds, ice, etc. </w:t>
      </w:r>
      <w:r>
        <w:rPr>
          <w:rFonts w:ascii="Calibri" w:hAnsi="Calibri" w:hint="eastAsia"/>
          <w:lang w:val="en-US" w:eastAsia="zh-CN"/>
        </w:rPr>
        <w:t>Special</w:t>
      </w:r>
      <w:r>
        <w:rPr>
          <w:rFonts w:ascii="Calibri" w:hAnsi="Calibri"/>
          <w:lang w:val="en-US" w:eastAsia="de-DE"/>
        </w:rPr>
        <w:t xml:space="preserve"> processes and procedures may be required. </w:t>
      </w:r>
      <w:r>
        <w:rPr>
          <w:rFonts w:ascii="Calibri" w:hAnsi="Calibri" w:hint="eastAsia"/>
          <w:lang w:eastAsia="de-DE"/>
        </w:rPr>
        <w:t xml:space="preserve">However, the relevant provisions in all the above documents merely provide a simple list of </w:t>
      </w:r>
      <w:r>
        <w:rPr>
          <w:rFonts w:ascii="Calibri" w:hAnsi="Calibri" w:hint="eastAsia"/>
          <w:lang w:eastAsia="zh-CN"/>
        </w:rPr>
        <w:t>restrictions</w:t>
      </w:r>
      <w:r>
        <w:rPr>
          <w:rFonts w:ascii="Calibri" w:hAnsi="Calibri" w:hint="eastAsia"/>
          <w:lang w:eastAsia="de-DE"/>
        </w:rPr>
        <w:t xml:space="preserve"> or </w:t>
      </w:r>
      <w:r>
        <w:rPr>
          <w:rFonts w:ascii="Calibri" w:hAnsi="Calibri" w:hint="eastAsia"/>
          <w:lang w:eastAsia="zh-CN"/>
        </w:rPr>
        <w:t>prohibitions</w:t>
      </w:r>
      <w:r>
        <w:rPr>
          <w:rFonts w:ascii="Calibri" w:hAnsi="Calibri" w:hint="eastAsia"/>
          <w:lang w:eastAsia="de-DE"/>
        </w:rPr>
        <w:t xml:space="preserve"> on vessel movements</w:t>
      </w:r>
      <w:r>
        <w:rPr>
          <w:rFonts w:ascii="Calibri" w:hAnsi="Calibri"/>
          <w:lang w:val="en-US" w:eastAsia="de-DE"/>
        </w:rPr>
        <w:t xml:space="preserve"> and additional requirements</w:t>
      </w:r>
      <w:r>
        <w:rPr>
          <w:rFonts w:ascii="Calibri" w:hAnsi="Calibri" w:hint="eastAsia"/>
          <w:lang w:eastAsia="de-DE"/>
        </w:rPr>
        <w:t>, lacking comprehensive closed-loop management content.</w:t>
      </w:r>
    </w:p>
    <w:p w14:paraId="24E9CBB0" w14:textId="77777777" w:rsidR="009478AB" w:rsidRDefault="000E1803">
      <w:pPr>
        <w:pStyle w:val="BodyText"/>
        <w:rPr>
          <w:rFonts w:ascii="Calibri" w:hAnsi="Calibri"/>
          <w:lang w:val="en-US" w:eastAsia="zh-CN"/>
        </w:rPr>
      </w:pPr>
      <w:r>
        <w:rPr>
          <w:rFonts w:ascii="Calibri" w:hAnsi="Calibri"/>
          <w:lang w:val="en-US" w:eastAsia="de-DE"/>
        </w:rPr>
        <w:t>The development of</w:t>
      </w:r>
      <w:r>
        <w:rPr>
          <w:rFonts w:ascii="Calibri" w:hAnsi="Calibri" w:hint="eastAsia"/>
          <w:lang w:eastAsia="de-DE"/>
        </w:rPr>
        <w:t xml:space="preserve"> dedicated </w:t>
      </w:r>
      <w:r>
        <w:rPr>
          <w:rFonts w:ascii="Calibri" w:hAnsi="Calibri"/>
          <w:lang w:eastAsia="de-DE"/>
        </w:rPr>
        <w:t>guidelines</w:t>
      </w:r>
      <w:r>
        <w:rPr>
          <w:rFonts w:ascii="Calibri" w:hAnsi="Calibri"/>
          <w:lang w:val="en-US" w:eastAsia="de-DE"/>
        </w:rPr>
        <w:t xml:space="preserve"> </w:t>
      </w:r>
      <w:r>
        <w:rPr>
          <w:rFonts w:ascii="Calibri" w:hAnsi="Calibri" w:hint="eastAsia"/>
          <w:lang w:eastAsia="de-DE"/>
        </w:rPr>
        <w:t>would</w:t>
      </w:r>
      <w:r>
        <w:rPr>
          <w:rFonts w:ascii="Calibri" w:hAnsi="Calibri"/>
          <w:lang w:val="en-US" w:eastAsia="de-DE"/>
        </w:rPr>
        <w:t xml:space="preserve"> facilitate the</w:t>
      </w:r>
      <w:r>
        <w:rPr>
          <w:rFonts w:ascii="Calibri" w:hAnsi="Calibri" w:hint="eastAsia"/>
          <w:lang w:eastAsia="de-DE"/>
        </w:rPr>
        <w:t xml:space="preserve"> consolidat</w:t>
      </w:r>
      <w:r>
        <w:rPr>
          <w:rFonts w:ascii="Calibri" w:hAnsi="Calibri"/>
          <w:lang w:val="en-US" w:eastAsia="de-DE"/>
        </w:rPr>
        <w:t>ion</w:t>
      </w:r>
      <w:r>
        <w:rPr>
          <w:rFonts w:ascii="Calibri" w:hAnsi="Calibri" w:hint="eastAsia"/>
          <w:lang w:eastAsia="de-DE"/>
        </w:rPr>
        <w:t xml:space="preserve"> and </w:t>
      </w:r>
      <w:r>
        <w:rPr>
          <w:rFonts w:ascii="Calibri" w:hAnsi="Calibri"/>
          <w:lang w:val="en-US" w:eastAsia="de-DE"/>
        </w:rPr>
        <w:t xml:space="preserve">further improvement of </w:t>
      </w:r>
      <w:r>
        <w:rPr>
          <w:rFonts w:ascii="Calibri" w:hAnsi="Calibri" w:hint="eastAsia"/>
          <w:lang w:eastAsia="de-DE"/>
        </w:rPr>
        <w:t xml:space="preserve"> the dispersed</w:t>
      </w:r>
      <w:r>
        <w:rPr>
          <w:rFonts w:ascii="Calibri" w:hAnsi="Calibri"/>
          <w:lang w:val="en-US" w:eastAsia="de-DE"/>
        </w:rPr>
        <w:t xml:space="preserve"> </w:t>
      </w:r>
      <w:r>
        <w:rPr>
          <w:rFonts w:ascii="Calibri" w:hAnsi="Calibri" w:hint="eastAsia"/>
          <w:lang w:eastAsia="de-DE"/>
        </w:rPr>
        <w:t xml:space="preserve">provisions into a </w:t>
      </w:r>
      <w:r>
        <w:rPr>
          <w:rFonts w:ascii="Calibri" w:hAnsi="Calibri"/>
          <w:lang w:val="en-US" w:eastAsia="de-DE"/>
        </w:rPr>
        <w:t>stand-alone</w:t>
      </w:r>
      <w:r>
        <w:rPr>
          <w:rFonts w:ascii="Calibri" w:hAnsi="Calibri" w:hint="eastAsia"/>
          <w:lang w:eastAsia="de-DE"/>
        </w:rPr>
        <w:t xml:space="preserve"> and comprehensive document </w:t>
      </w:r>
      <w:r>
        <w:rPr>
          <w:rFonts w:ascii="Calibri" w:hAnsi="Calibri"/>
          <w:lang w:val="en-US" w:eastAsia="de-DE"/>
        </w:rPr>
        <w:t xml:space="preserve">for </w:t>
      </w:r>
      <w:r>
        <w:rPr>
          <w:rFonts w:ascii="Calibri" w:hAnsi="Calibri" w:hint="eastAsia"/>
          <w:lang w:eastAsia="de-DE"/>
        </w:rPr>
        <w:t xml:space="preserve">responding to adverse environmental conditions, </w:t>
      </w:r>
      <w:r>
        <w:rPr>
          <w:rFonts w:ascii="Calibri" w:hAnsi="Calibri"/>
          <w:lang w:val="en-US" w:eastAsia="de-DE"/>
        </w:rPr>
        <w:t>thereby</w:t>
      </w:r>
      <w:r>
        <w:rPr>
          <w:rFonts w:ascii="Calibri" w:hAnsi="Calibri" w:hint="eastAsia"/>
          <w:lang w:eastAsia="de-DE"/>
        </w:rPr>
        <w:t xml:space="preserve"> filling the gap in IALA</w:t>
      </w:r>
      <w:r>
        <w:rPr>
          <w:rFonts w:ascii="Calibri" w:hAnsi="Calibri"/>
          <w:lang w:val="en-US" w:eastAsia="de-DE"/>
        </w:rPr>
        <w:t>’</w:t>
      </w:r>
      <w:r>
        <w:rPr>
          <w:rFonts w:ascii="Calibri" w:hAnsi="Calibri" w:hint="eastAsia"/>
          <w:lang w:eastAsia="de-DE"/>
        </w:rPr>
        <w:t>s VTS environmental risk management documents and improving the overall standard</w:t>
      </w:r>
      <w:r>
        <w:rPr>
          <w:rFonts w:ascii="Calibri" w:hAnsi="Calibri" w:hint="eastAsia"/>
          <w:lang w:val="en-US" w:eastAsia="zh-CN"/>
        </w:rPr>
        <w:t>s</w:t>
      </w:r>
      <w:r>
        <w:rPr>
          <w:rFonts w:ascii="Calibri" w:hAnsi="Calibri" w:hint="eastAsia"/>
          <w:lang w:eastAsia="de-DE"/>
        </w:rPr>
        <w:t xml:space="preserve"> framework.</w:t>
      </w:r>
    </w:p>
    <w:p w14:paraId="3837E752" w14:textId="77777777" w:rsidR="009478AB" w:rsidRDefault="000E1803">
      <w:pPr>
        <w:pStyle w:val="Heading3"/>
        <w:tabs>
          <w:tab w:val="clear" w:pos="283"/>
        </w:tabs>
        <w:rPr>
          <w:lang w:val="en-US" w:eastAsia="zh-CN"/>
        </w:rPr>
      </w:pPr>
      <w:r>
        <w:rPr>
          <w:rFonts w:hint="eastAsia"/>
          <w:lang w:val="en-US" w:eastAsia="zh-CN"/>
        </w:rPr>
        <w:t>M</w:t>
      </w:r>
      <w:r>
        <w:rPr>
          <w:lang w:val="en-US" w:eastAsia="zh-CN"/>
        </w:rPr>
        <w:t>onitoring and</w:t>
      </w:r>
      <w:r>
        <w:rPr>
          <w:rFonts w:hint="eastAsia"/>
          <w:lang w:val="en-US" w:eastAsia="zh-CN"/>
        </w:rPr>
        <w:t xml:space="preserve"> M</w:t>
      </w:r>
      <w:r>
        <w:rPr>
          <w:lang w:val="en-US" w:eastAsia="zh-CN"/>
        </w:rPr>
        <w:t>anagement</w:t>
      </w:r>
      <w:r>
        <w:rPr>
          <w:rFonts w:hint="eastAsia"/>
          <w:lang w:val="en-US" w:eastAsia="zh-CN"/>
        </w:rPr>
        <w:t xml:space="preserve"> </w:t>
      </w:r>
      <w:r>
        <w:rPr>
          <w:lang w:val="en-US" w:eastAsia="zh-CN"/>
        </w:rPr>
        <w:t>of</w:t>
      </w:r>
      <w:r>
        <w:rPr>
          <w:rFonts w:hint="eastAsia"/>
          <w:lang w:val="en-US" w:eastAsia="zh-CN"/>
        </w:rPr>
        <w:t xml:space="preserve"> S</w:t>
      </w:r>
      <w:r>
        <w:rPr>
          <w:lang w:val="en-US" w:eastAsia="zh-CN"/>
        </w:rPr>
        <w:t>hip</w:t>
      </w:r>
      <w:r>
        <w:rPr>
          <w:rFonts w:hint="eastAsia"/>
          <w:lang w:val="en-US" w:eastAsia="zh-CN"/>
        </w:rPr>
        <w:t xml:space="preserve"> T</w:t>
      </w:r>
      <w:r>
        <w:rPr>
          <w:lang w:val="en-US" w:eastAsia="zh-CN"/>
        </w:rPr>
        <w:t xml:space="preserve">raffic in Adverse Environmental Conditions in a Harmonized Manner </w:t>
      </w:r>
    </w:p>
    <w:p w14:paraId="53B1FA19" w14:textId="77777777" w:rsidR="009478AB" w:rsidRDefault="000E1803">
      <w:pPr>
        <w:pStyle w:val="BodyText"/>
        <w:rPr>
          <w:rFonts w:ascii="Calibri" w:hAnsi="Calibri"/>
          <w:lang w:eastAsia="de-DE"/>
        </w:rPr>
      </w:pPr>
      <w:r>
        <w:rPr>
          <w:rFonts w:ascii="Calibri" w:hAnsi="Calibri" w:hint="eastAsia"/>
          <w:lang w:eastAsia="de-DE"/>
        </w:rPr>
        <w:t xml:space="preserve">Currently, </w:t>
      </w:r>
      <w:r>
        <w:rPr>
          <w:rFonts w:ascii="Calibri" w:hAnsi="Calibri" w:hint="eastAsia"/>
          <w:lang w:eastAsia="zh-CN"/>
        </w:rPr>
        <w:t>VTS providers</w:t>
      </w:r>
      <w:r>
        <w:rPr>
          <w:rFonts w:ascii="Calibri" w:hAnsi="Calibri" w:hint="eastAsia"/>
          <w:lang w:eastAsia="de-DE"/>
        </w:rPr>
        <w:t xml:space="preserve"> in different countries lack unified international guidance for operational procedures and implementation standards under adverse environmental conditions, with some region</w:t>
      </w:r>
      <w:r>
        <w:rPr>
          <w:rFonts w:ascii="Calibri" w:hAnsi="Calibri" w:hint="eastAsia"/>
          <w:lang w:val="en-US" w:eastAsia="zh-CN"/>
        </w:rPr>
        <w:t>al</w:t>
      </w:r>
      <w:r>
        <w:rPr>
          <w:rFonts w:ascii="Calibri" w:hAnsi="Calibri"/>
          <w:lang w:val="en-US" w:eastAsia="de-DE"/>
        </w:rPr>
        <w:t xml:space="preserve"> </w:t>
      </w:r>
      <w:r>
        <w:rPr>
          <w:rFonts w:ascii="Calibri" w:hAnsi="Calibri" w:hint="eastAsia"/>
          <w:lang w:eastAsia="de-DE"/>
        </w:rPr>
        <w:t>procedures that are not sufficiently systematic or standardized. The</w:t>
      </w:r>
      <w:r>
        <w:rPr>
          <w:rFonts w:ascii="Calibri" w:hAnsi="Calibri"/>
          <w:lang w:val="en-US" w:eastAsia="de-DE"/>
        </w:rPr>
        <w:t xml:space="preserve"> proposed</w:t>
      </w:r>
      <w:r>
        <w:rPr>
          <w:rFonts w:ascii="Calibri" w:hAnsi="Calibri" w:hint="eastAsia"/>
          <w:lang w:eastAsia="de-DE"/>
        </w:rPr>
        <w:t xml:space="preserve"> Guid</w:t>
      </w:r>
      <w:r>
        <w:rPr>
          <w:rFonts w:ascii="Calibri" w:hAnsi="Calibri"/>
          <w:lang w:val="en-US" w:eastAsia="de-DE"/>
        </w:rPr>
        <w:t>elines</w:t>
      </w:r>
      <w:r>
        <w:rPr>
          <w:rFonts w:ascii="Calibri" w:hAnsi="Calibri" w:hint="eastAsia"/>
          <w:lang w:eastAsia="de-DE"/>
        </w:rPr>
        <w:t xml:space="preserve"> </w:t>
      </w:r>
      <w:r>
        <w:rPr>
          <w:rFonts w:ascii="Calibri" w:hAnsi="Calibri"/>
          <w:lang w:val="en-US" w:eastAsia="de-DE"/>
        </w:rPr>
        <w:t>on</w:t>
      </w:r>
      <w:r>
        <w:rPr>
          <w:rFonts w:ascii="Calibri" w:hAnsi="Calibri" w:hint="eastAsia"/>
          <w:lang w:eastAsia="de-DE"/>
        </w:rPr>
        <w:t xml:space="preserve"> Response </w:t>
      </w:r>
      <w:r>
        <w:rPr>
          <w:rFonts w:ascii="Calibri" w:hAnsi="Calibri"/>
          <w:lang w:val="en-US" w:eastAsia="de-DE"/>
        </w:rPr>
        <w:t>for</w:t>
      </w:r>
      <w:r>
        <w:rPr>
          <w:rFonts w:ascii="Calibri" w:hAnsi="Calibri" w:hint="eastAsia"/>
          <w:lang w:eastAsia="de-DE"/>
        </w:rPr>
        <w:t xml:space="preserve"> Adverse Environmental Conditions would </w:t>
      </w:r>
      <w:r>
        <w:rPr>
          <w:rFonts w:ascii="Calibri" w:hAnsi="Calibri"/>
          <w:lang w:val="en-US" w:eastAsia="de-DE"/>
        </w:rPr>
        <w:t xml:space="preserve">facilitate the </w:t>
      </w:r>
      <w:r>
        <w:rPr>
          <w:rFonts w:ascii="Calibri" w:hAnsi="Calibri" w:hint="eastAsia"/>
          <w:lang w:eastAsia="de-DE"/>
        </w:rPr>
        <w:t>establish</w:t>
      </w:r>
      <w:r>
        <w:rPr>
          <w:rFonts w:ascii="Calibri" w:hAnsi="Calibri"/>
          <w:lang w:val="en-US" w:eastAsia="de-DE"/>
        </w:rPr>
        <w:t>ment of</w:t>
      </w:r>
      <w:r>
        <w:rPr>
          <w:rFonts w:ascii="Calibri" w:hAnsi="Calibri" w:hint="eastAsia"/>
          <w:lang w:eastAsia="de-DE"/>
        </w:rPr>
        <w:t xml:space="preserve"> a standardized framework for response, risk classification, and operational procedures</w:t>
      </w:r>
      <w:r>
        <w:rPr>
          <w:rFonts w:ascii="Calibri" w:hAnsi="Calibri"/>
          <w:lang w:val="en-US" w:eastAsia="de-DE"/>
        </w:rPr>
        <w:t xml:space="preserve">, which </w:t>
      </w:r>
      <w:r>
        <w:rPr>
          <w:rFonts w:ascii="Calibri" w:hAnsi="Calibri" w:hint="eastAsia"/>
          <w:lang w:eastAsia="de-DE"/>
        </w:rPr>
        <w:t xml:space="preserve">would provide clear guidance for VTS </w:t>
      </w:r>
      <w:r>
        <w:rPr>
          <w:rFonts w:ascii="Calibri" w:hAnsi="Calibri"/>
          <w:lang w:val="en-US" w:eastAsia="de-DE"/>
        </w:rPr>
        <w:t xml:space="preserve">providers </w:t>
      </w:r>
      <w:r>
        <w:rPr>
          <w:rFonts w:ascii="Calibri" w:hAnsi="Calibri" w:hint="eastAsia"/>
          <w:lang w:eastAsia="de-DE"/>
        </w:rPr>
        <w:t xml:space="preserve">in conducting </w:t>
      </w:r>
      <w:r>
        <w:rPr>
          <w:rFonts w:ascii="Calibri" w:hAnsi="Calibri"/>
          <w:lang w:val="en-US" w:eastAsia="de-DE"/>
        </w:rPr>
        <w:t>monitoring and management</w:t>
      </w:r>
      <w:r>
        <w:rPr>
          <w:rFonts w:ascii="Calibri" w:hAnsi="Calibri" w:hint="eastAsia"/>
          <w:lang w:eastAsia="de-DE"/>
        </w:rPr>
        <w:t xml:space="preserve"> under adverse </w:t>
      </w:r>
      <w:r>
        <w:rPr>
          <w:rFonts w:ascii="Calibri" w:hAnsi="Calibri"/>
          <w:lang w:val="en-US" w:eastAsia="de-DE"/>
        </w:rPr>
        <w:t xml:space="preserve">environmental </w:t>
      </w:r>
      <w:r>
        <w:rPr>
          <w:rFonts w:ascii="Calibri" w:hAnsi="Calibri" w:hint="eastAsia"/>
          <w:lang w:eastAsia="de-DE"/>
        </w:rPr>
        <w:t xml:space="preserve">conditions, helping each VTS </w:t>
      </w:r>
      <w:r>
        <w:rPr>
          <w:rFonts w:ascii="Calibri" w:hAnsi="Calibri"/>
          <w:lang w:eastAsia="de-DE"/>
        </w:rPr>
        <w:t>provider</w:t>
      </w:r>
      <w:r>
        <w:rPr>
          <w:rFonts w:ascii="Calibri" w:hAnsi="Calibri" w:hint="eastAsia"/>
          <w:lang w:eastAsia="de-DE"/>
        </w:rPr>
        <w:t>, in consideration of its own navigational and hydro-meteorological characteristics, to implement early warning, traffic management, and navigational recovery measures in a scientific and standardized manner. This would comprehensively enhance the professional level of VTS management under adverse environmental conditions and ensure the safe and orderly operation of VTS worldwide in complex hydro-meteorological environments.</w:t>
      </w:r>
    </w:p>
    <w:p w14:paraId="6DD46B98" w14:textId="77777777" w:rsidR="009478AB" w:rsidRDefault="000E1803">
      <w:pPr>
        <w:pStyle w:val="Heading3"/>
        <w:tabs>
          <w:tab w:val="clear" w:pos="283"/>
        </w:tabs>
        <w:rPr>
          <w:lang w:eastAsia="zh-CN"/>
        </w:rPr>
      </w:pPr>
      <w:r>
        <w:t xml:space="preserve">Resolving Cross-area Disparities in </w:t>
      </w:r>
      <w:r>
        <w:rPr>
          <w:lang w:val="en-US"/>
        </w:rPr>
        <w:t xml:space="preserve">Traffic </w:t>
      </w:r>
      <w:r>
        <w:t>Control and Coordinating Navigation Safety with Operational Efficiency</w:t>
      </w:r>
      <w:r>
        <w:rPr>
          <w:lang w:eastAsia="zh-CN"/>
        </w:rPr>
        <w:t xml:space="preserve"> </w:t>
      </w:r>
    </w:p>
    <w:p w14:paraId="0930903F" w14:textId="77777777" w:rsidR="009478AB" w:rsidRDefault="000E1803">
      <w:pPr>
        <w:pStyle w:val="BodyText"/>
        <w:rPr>
          <w:rFonts w:ascii="Calibri" w:hAnsi="Calibri"/>
          <w:lang w:val="en-US" w:eastAsia="zh-CN"/>
        </w:rPr>
      </w:pPr>
      <w:r>
        <w:rPr>
          <w:rFonts w:ascii="Calibri" w:hAnsi="Calibri" w:hint="eastAsia"/>
          <w:lang w:val="en-US" w:eastAsia="zh-CN"/>
        </w:rPr>
        <w:t>It</w:t>
      </w:r>
      <w:r>
        <w:rPr>
          <w:rFonts w:ascii="Calibri" w:hAnsi="Calibri"/>
          <w:lang w:val="en-US" w:eastAsia="zh-CN"/>
        </w:rPr>
        <w:t xml:space="preserve"> is common for vessels to</w:t>
      </w:r>
      <w:r>
        <w:rPr>
          <w:rFonts w:ascii="Calibri" w:hAnsi="Calibri" w:hint="eastAsia"/>
          <w:lang w:val="en-US" w:eastAsia="zh-CN"/>
        </w:rPr>
        <w:t xml:space="preserve"> navigate through multiple VTS areas. When adjacent areas or different VTS provider</w:t>
      </w:r>
      <w:r>
        <w:rPr>
          <w:rFonts w:ascii="Calibri" w:hAnsi="Calibri"/>
          <w:lang w:val="en-US" w:eastAsia="zh-CN"/>
        </w:rPr>
        <w:t>s</w:t>
      </w:r>
      <w:r>
        <w:rPr>
          <w:rFonts w:ascii="Calibri" w:hAnsi="Calibri" w:hint="eastAsia"/>
          <w:lang w:val="en-US" w:eastAsia="zh-CN"/>
        </w:rPr>
        <w:t xml:space="preserve"> in similar geographical environments set significantly different </w:t>
      </w:r>
      <w:r>
        <w:rPr>
          <w:rFonts w:ascii="Calibri" w:hAnsi="Calibri"/>
          <w:lang w:val="en-US" w:eastAsia="zh-CN"/>
        </w:rPr>
        <w:t xml:space="preserve">traffic </w:t>
      </w:r>
      <w:r>
        <w:rPr>
          <w:rFonts w:ascii="Calibri" w:hAnsi="Calibri" w:hint="eastAsia"/>
          <w:lang w:val="en-US" w:eastAsia="zh-CN"/>
        </w:rPr>
        <w:t xml:space="preserve">control thresholds and navigation restrictions for wind </w:t>
      </w:r>
      <w:r>
        <w:rPr>
          <w:rFonts w:ascii="Calibri" w:hAnsi="Calibri"/>
          <w:lang w:val="en-US" w:eastAsia="zh-CN"/>
        </w:rPr>
        <w:t>force</w:t>
      </w:r>
      <w:r>
        <w:rPr>
          <w:rFonts w:ascii="Calibri" w:hAnsi="Calibri" w:hint="eastAsia"/>
          <w:lang w:val="en-US" w:eastAsia="zh-CN"/>
        </w:rPr>
        <w:t xml:space="preserve">, visibility, etc., vessels </w:t>
      </w:r>
      <w:r>
        <w:rPr>
          <w:rFonts w:ascii="Calibri" w:hAnsi="Calibri"/>
          <w:lang w:val="en-US" w:eastAsia="zh-CN"/>
        </w:rPr>
        <w:t xml:space="preserve">may </w:t>
      </w:r>
      <w:r>
        <w:rPr>
          <w:rFonts w:ascii="Calibri" w:hAnsi="Calibri" w:hint="eastAsia"/>
          <w:lang w:val="en-US" w:eastAsia="zh-CN"/>
        </w:rPr>
        <w:t xml:space="preserve">receive frequently changing instructions </w:t>
      </w:r>
      <w:r>
        <w:rPr>
          <w:rFonts w:ascii="Calibri" w:hAnsi="Calibri"/>
          <w:lang w:val="en-US" w:eastAsia="zh-CN"/>
        </w:rPr>
        <w:t xml:space="preserve">en </w:t>
      </w:r>
      <w:r>
        <w:rPr>
          <w:rFonts w:ascii="Calibri" w:hAnsi="Calibri"/>
          <w:lang w:val="en-US" w:eastAsia="zh-CN"/>
        </w:rPr>
        <w:lastRenderedPageBreak/>
        <w:t>route</w:t>
      </w:r>
      <w:r>
        <w:rPr>
          <w:rFonts w:ascii="Calibri" w:hAnsi="Calibri" w:hint="eastAsia"/>
          <w:lang w:val="en-US" w:eastAsia="zh-CN"/>
        </w:rPr>
        <w:t xml:space="preserve">. This </w:t>
      </w:r>
      <w:r>
        <w:rPr>
          <w:rFonts w:ascii="Calibri" w:hAnsi="Calibri"/>
          <w:lang w:val="en-US" w:eastAsia="zh-CN"/>
        </w:rPr>
        <w:t>causes disruption to</w:t>
      </w:r>
      <w:r>
        <w:rPr>
          <w:rFonts w:ascii="Calibri" w:hAnsi="Calibri" w:hint="eastAsia"/>
          <w:lang w:val="en-US" w:eastAsia="zh-CN"/>
        </w:rPr>
        <w:t xml:space="preserve"> </w:t>
      </w:r>
      <w:r>
        <w:rPr>
          <w:rFonts w:ascii="Calibri" w:hAnsi="Calibri"/>
          <w:lang w:val="en-US" w:eastAsia="zh-CN"/>
        </w:rPr>
        <w:t xml:space="preserve">the </w:t>
      </w:r>
      <w:r>
        <w:rPr>
          <w:rFonts w:ascii="Calibri" w:hAnsi="Calibri" w:hint="eastAsia"/>
          <w:lang w:val="en-US" w:eastAsia="zh-CN"/>
        </w:rPr>
        <w:t>passages</w:t>
      </w:r>
      <w:r>
        <w:rPr>
          <w:rFonts w:ascii="Calibri" w:hAnsi="Calibri"/>
          <w:lang w:val="en-US" w:eastAsia="zh-CN"/>
        </w:rPr>
        <w:t xml:space="preserve"> planned</w:t>
      </w:r>
      <w:r>
        <w:rPr>
          <w:rFonts w:ascii="Calibri" w:hAnsi="Calibri" w:hint="eastAsia"/>
          <w:lang w:val="en-US" w:eastAsia="zh-CN"/>
        </w:rPr>
        <w:t xml:space="preserve">, </w:t>
      </w:r>
      <w:r>
        <w:rPr>
          <w:rFonts w:ascii="Calibri" w:hAnsi="Calibri"/>
          <w:lang w:val="en-US" w:eastAsia="zh-CN"/>
        </w:rPr>
        <w:t xml:space="preserve">undermines </w:t>
      </w:r>
      <w:r>
        <w:rPr>
          <w:rFonts w:ascii="Calibri" w:hAnsi="Calibri" w:hint="eastAsia"/>
          <w:lang w:val="en-US" w:eastAsia="zh-CN"/>
        </w:rPr>
        <w:t xml:space="preserve">navigational efficiency, and places a continuous additional burden </w:t>
      </w:r>
      <w:r>
        <w:rPr>
          <w:rFonts w:ascii="Calibri" w:hAnsi="Calibri"/>
          <w:lang w:val="en-US" w:eastAsia="zh-CN"/>
        </w:rPr>
        <w:t>to</w:t>
      </w:r>
      <w:r>
        <w:rPr>
          <w:rFonts w:ascii="Calibri" w:hAnsi="Calibri" w:hint="eastAsia"/>
          <w:lang w:val="en-US" w:eastAsia="zh-CN"/>
        </w:rPr>
        <w:t xml:space="preserve"> seafarers</w:t>
      </w:r>
      <w:r>
        <w:rPr>
          <w:rFonts w:ascii="Calibri" w:hAnsi="Calibri"/>
          <w:lang w:val="en-US" w:eastAsia="zh-CN"/>
        </w:rPr>
        <w:t>’</w:t>
      </w:r>
      <w:r>
        <w:rPr>
          <w:rFonts w:ascii="Calibri" w:hAnsi="Calibri" w:hint="eastAsia"/>
          <w:lang w:val="en-US" w:eastAsia="zh-CN"/>
        </w:rPr>
        <w:t xml:space="preserve"> navigation and decision-making.</w:t>
      </w:r>
    </w:p>
    <w:p w14:paraId="271A7543" w14:textId="77777777" w:rsidR="009478AB" w:rsidRDefault="000E1803">
      <w:pPr>
        <w:pStyle w:val="BodyText"/>
        <w:rPr>
          <w:rFonts w:ascii="Calibri" w:hAnsi="Calibri"/>
          <w:lang w:val="en-US" w:eastAsia="zh-CN"/>
        </w:rPr>
      </w:pPr>
      <w:r>
        <w:rPr>
          <w:rFonts w:ascii="Calibri" w:hAnsi="Calibri" w:hint="eastAsia"/>
          <w:lang w:val="en-US" w:eastAsia="zh-CN"/>
        </w:rPr>
        <w:t xml:space="preserve">The development of dedicated guidelines would provide coherent and harmonized cross-regional implementation standards, while allowing each </w:t>
      </w:r>
      <w:r>
        <w:rPr>
          <w:rFonts w:ascii="Calibri" w:hAnsi="Calibri"/>
          <w:lang w:val="en-US" w:eastAsia="zh-CN"/>
        </w:rPr>
        <w:t xml:space="preserve">VTS </w:t>
      </w:r>
      <w:r>
        <w:rPr>
          <w:rFonts w:ascii="Calibri" w:hAnsi="Calibri" w:hint="eastAsia"/>
          <w:lang w:val="en-US" w:eastAsia="zh-CN"/>
        </w:rPr>
        <w:t>provider to implement special processes and procedures depending on local conditions. This would not only reduce safety risks caused by standard discrepancies but also stabilize overall navigational efficiency and alleviate seafarers</w:t>
      </w:r>
      <w:r>
        <w:rPr>
          <w:rFonts w:ascii="Calibri" w:hAnsi="Calibri"/>
          <w:lang w:val="en-US" w:eastAsia="zh-CN"/>
        </w:rPr>
        <w:t xml:space="preserve">’ </w:t>
      </w:r>
      <w:r>
        <w:rPr>
          <w:rFonts w:ascii="Calibri" w:hAnsi="Calibri" w:hint="eastAsia"/>
          <w:lang w:val="en-US" w:eastAsia="zh-CN"/>
        </w:rPr>
        <w:t>pressure.</w:t>
      </w:r>
    </w:p>
    <w:p w14:paraId="3D1163E8" w14:textId="77777777" w:rsidR="009478AB" w:rsidRDefault="000E1803">
      <w:pPr>
        <w:pStyle w:val="Heading2"/>
        <w:rPr>
          <w:lang w:val="en-US" w:eastAsia="zh-CN"/>
        </w:rPr>
      </w:pPr>
      <w:r>
        <w:t>Feasibility</w:t>
      </w:r>
      <w:r>
        <w:rPr>
          <w:lang w:val="en-US" w:eastAsia="zh-CN"/>
        </w:rPr>
        <w:t xml:space="preserve"> </w:t>
      </w:r>
    </w:p>
    <w:p w14:paraId="5F328994" w14:textId="77777777" w:rsidR="009478AB" w:rsidRDefault="000E1803">
      <w:pPr>
        <w:pStyle w:val="Heading3"/>
        <w:tabs>
          <w:tab w:val="clear" w:pos="283"/>
        </w:tabs>
        <w:rPr>
          <w:lang w:eastAsia="zh-CN"/>
        </w:rPr>
      </w:pPr>
      <w:r>
        <w:t>Availability of Ample Practical Experience Worldwide</w:t>
      </w:r>
      <w:r>
        <w:rPr>
          <w:lang w:eastAsia="zh-CN"/>
        </w:rPr>
        <w:t xml:space="preserve"> </w:t>
      </w:r>
    </w:p>
    <w:p w14:paraId="30D4EBDA" w14:textId="77777777" w:rsidR="009478AB" w:rsidRDefault="000E1803">
      <w:pPr>
        <w:pStyle w:val="BodyText"/>
        <w:rPr>
          <w:rFonts w:ascii="Calibri" w:hAnsi="Calibri"/>
          <w:lang w:val="en-US" w:eastAsia="zh-CN"/>
        </w:rPr>
      </w:pPr>
      <w:r>
        <w:rPr>
          <w:rFonts w:ascii="Calibri" w:hAnsi="Calibri"/>
          <w:lang w:val="en-US" w:eastAsia="zh-CN"/>
        </w:rPr>
        <w:t>VTS services have been in operation worldwide for decades. V</w:t>
      </w:r>
      <w:r>
        <w:rPr>
          <w:rFonts w:ascii="Calibri" w:hAnsi="Calibri" w:hint="eastAsia"/>
          <w:lang w:val="en-US" w:eastAsia="zh-CN"/>
        </w:rPr>
        <w:t>arious VTS providers have accumulated mature experience in handling various</w:t>
      </w:r>
      <w:bookmarkStart w:id="3" w:name="OLE_LINK6"/>
      <w:r>
        <w:rPr>
          <w:rFonts w:ascii="Calibri" w:hAnsi="Calibri"/>
          <w:lang w:val="en-US" w:eastAsia="zh-CN"/>
        </w:rPr>
        <w:t xml:space="preserve"> adverse environmental conditions</w:t>
      </w:r>
      <w:bookmarkEnd w:id="3"/>
      <w:r>
        <w:rPr>
          <w:rFonts w:ascii="Calibri" w:hAnsi="Calibri"/>
          <w:lang w:val="en-US" w:eastAsia="zh-CN"/>
        </w:rPr>
        <w:t xml:space="preserve">. </w:t>
      </w:r>
      <w:r>
        <w:rPr>
          <w:rFonts w:ascii="Calibri" w:hAnsi="Calibri" w:hint="eastAsia"/>
          <w:lang w:val="en-US" w:eastAsia="zh-CN"/>
        </w:rPr>
        <w:t xml:space="preserve">VTS providers in different countries </w:t>
      </w:r>
      <w:r>
        <w:rPr>
          <w:rFonts w:ascii="Calibri" w:hAnsi="Calibri"/>
          <w:lang w:val="en-US" w:eastAsia="zh-CN"/>
        </w:rPr>
        <w:t>may</w:t>
      </w:r>
      <w:r>
        <w:rPr>
          <w:rFonts w:ascii="Calibri" w:hAnsi="Calibri" w:hint="eastAsia"/>
          <w:lang w:val="en-US" w:eastAsia="zh-CN"/>
        </w:rPr>
        <w:t xml:space="preserve"> provide local operational procedures, risk classification standards, and implementation case studies as source material for developing the Guidelines. The development process will be able to comprehensively synthesize experience from different waters, ensuring smooth development of the Guidelines.</w:t>
      </w:r>
    </w:p>
    <w:p w14:paraId="7368D20C" w14:textId="77777777" w:rsidR="009478AB" w:rsidRDefault="000E1803">
      <w:pPr>
        <w:pStyle w:val="Heading3"/>
        <w:tabs>
          <w:tab w:val="clear" w:pos="283"/>
        </w:tabs>
        <w:rPr>
          <w:lang w:eastAsia="zh-CN"/>
        </w:rPr>
      </w:pPr>
      <w:r>
        <w:t>Adopting a Tiered Development Framework to Balance Uniform Standards and Local Differentiation</w:t>
      </w:r>
      <w:r>
        <w:rPr>
          <w:lang w:eastAsia="zh-CN"/>
        </w:rPr>
        <w:t xml:space="preserve"> </w:t>
      </w:r>
    </w:p>
    <w:p w14:paraId="174F1DFB" w14:textId="77777777" w:rsidR="009478AB" w:rsidRDefault="000E1803">
      <w:pPr>
        <w:pStyle w:val="BodyText"/>
        <w:rPr>
          <w:rFonts w:ascii="Calibri" w:hAnsi="Calibri"/>
          <w:lang w:val="en-US" w:eastAsia="zh-CN"/>
        </w:rPr>
      </w:pPr>
      <w:r>
        <w:rPr>
          <w:rFonts w:ascii="Calibri" w:hAnsi="Calibri" w:hint="eastAsia"/>
          <w:lang w:val="en-US" w:eastAsia="zh-CN"/>
        </w:rPr>
        <w:t>It is advised that the Guidelines be developed under a two-tier framework featuring globally uniform standards and regional adaptive implementation:</w:t>
      </w:r>
    </w:p>
    <w:p w14:paraId="513DF755" w14:textId="77777777" w:rsidR="009478AB" w:rsidRDefault="000E1803">
      <w:pPr>
        <w:pStyle w:val="BodyText"/>
        <w:rPr>
          <w:rFonts w:ascii="Calibri" w:hAnsi="Calibri"/>
          <w:lang w:val="en-US" w:eastAsia="zh-CN"/>
        </w:rPr>
      </w:pPr>
      <w:r>
        <w:rPr>
          <w:rFonts w:ascii="Calibri" w:hAnsi="Calibri" w:hint="eastAsia"/>
          <w:lang w:val="en-US" w:eastAsia="zh-CN"/>
        </w:rPr>
        <w:t>Tier 1 would aim to harmonize applicable content such as terminology, basic supporting actions, and complete closed-loop processes, without regional inconsistencies;</w:t>
      </w:r>
    </w:p>
    <w:p w14:paraId="514646DA" w14:textId="77777777" w:rsidR="009478AB" w:rsidRDefault="000E1803">
      <w:pPr>
        <w:pStyle w:val="BodyText"/>
        <w:rPr>
          <w:rFonts w:ascii="Calibri" w:hAnsi="Calibri"/>
          <w:lang w:val="en-US" w:eastAsia="zh-CN"/>
        </w:rPr>
      </w:pPr>
      <w:r>
        <w:rPr>
          <w:rFonts w:ascii="Calibri" w:hAnsi="Calibri" w:hint="eastAsia"/>
          <w:lang w:val="en-US" w:eastAsia="zh-CN"/>
        </w:rPr>
        <w:t>Tier 2 would provide templates and logical frameworks, without mandating uniform numerical thresholds for meteorological and hydrological traffic control parameters such as wind force and visibility. Each VTS provider may implement measures autonomously according to local hydro-meteorological characteristics, which would not restrict local operational discretion, thus ensuring both general applicability and operational flexibility.</w:t>
      </w:r>
    </w:p>
    <w:p w14:paraId="10190445" w14:textId="77777777" w:rsidR="009478AB" w:rsidRDefault="000E1803">
      <w:pPr>
        <w:pStyle w:val="Heading2"/>
        <w:rPr>
          <w:lang w:val="en-US" w:eastAsia="zh-CN"/>
        </w:rPr>
      </w:pPr>
      <w:r>
        <w:rPr>
          <w:rFonts w:hint="eastAsia"/>
        </w:rPr>
        <w:t>Development Approach for the Guidelines</w:t>
      </w:r>
      <w:r>
        <w:rPr>
          <w:lang w:val="en-US" w:eastAsia="zh-CN"/>
        </w:rPr>
        <w:t xml:space="preserve"> </w:t>
      </w:r>
    </w:p>
    <w:p w14:paraId="2AC59433" w14:textId="77777777" w:rsidR="009478AB" w:rsidRDefault="000E1803">
      <w:pPr>
        <w:pStyle w:val="BodyText"/>
        <w:suppressAutoHyphens/>
        <w:rPr>
          <w:lang w:val="en-US" w:eastAsia="zh-CN"/>
        </w:rPr>
      </w:pPr>
      <w:r>
        <w:rPr>
          <w:rFonts w:hint="eastAsia"/>
          <w:lang w:val="en-US" w:eastAsia="zh-CN"/>
        </w:rPr>
        <w:t>Tier 1 – Harmonize applicable content:</w:t>
      </w:r>
    </w:p>
    <w:p w14:paraId="78D326CA" w14:textId="77777777" w:rsidR="009478AB" w:rsidRDefault="000E1803">
      <w:pPr>
        <w:pStyle w:val="Bullet1"/>
        <w:suppressAutoHyphens/>
        <w:rPr>
          <w:lang w:val="en-US" w:eastAsia="zh-CN"/>
        </w:rPr>
      </w:pPr>
      <w:r>
        <w:rPr>
          <w:rFonts w:hint="eastAsia"/>
          <w:lang w:val="en-US" w:eastAsia="zh-CN"/>
        </w:rPr>
        <w:t>Harmonized definitions of terms such as adverse environmental conditions;</w:t>
      </w:r>
    </w:p>
    <w:p w14:paraId="57841169" w14:textId="77777777" w:rsidR="009478AB" w:rsidRDefault="000E1803">
      <w:pPr>
        <w:pStyle w:val="Bullet1"/>
        <w:suppressAutoHyphens/>
        <w:rPr>
          <w:lang w:val="en-US" w:eastAsia="zh-CN"/>
        </w:rPr>
      </w:pPr>
      <w:r>
        <w:rPr>
          <w:rFonts w:hint="eastAsia"/>
          <w:lang w:val="en-US" w:eastAsia="zh-CN"/>
        </w:rPr>
        <w:t>A harmonized complete closed-loop process: hydro-meteorological information collection requirements, risk assessment, classification criteria, graded early warning issuance and traffic management mechanisms, and post-event review and analysis;</w:t>
      </w:r>
    </w:p>
    <w:p w14:paraId="009CD712" w14:textId="77777777" w:rsidR="009478AB" w:rsidRDefault="000E1803">
      <w:pPr>
        <w:pStyle w:val="Bullet1"/>
        <w:suppressAutoHyphens/>
        <w:rPr>
          <w:lang w:val="en-US" w:eastAsia="zh-CN"/>
        </w:rPr>
      </w:pPr>
      <w:r>
        <w:rPr>
          <w:rFonts w:hint="eastAsia"/>
          <w:lang w:val="en-US" w:eastAsia="zh-CN"/>
        </w:rPr>
        <w:t>Clarification of basic measures to be implemented under adverse environmental conditions: enhanced hydro-meteorological information collection, increased separation between vessels, focused tracking of high-risk vessels, dissemination of early warning information, additional reporting requirements, and other supplementary measures;</w:t>
      </w:r>
    </w:p>
    <w:p w14:paraId="1BF36C90" w14:textId="77777777" w:rsidR="009478AB" w:rsidRDefault="000E1803">
      <w:pPr>
        <w:pStyle w:val="Bullet1"/>
        <w:suppressAutoHyphens/>
        <w:rPr>
          <w:lang w:val="en-US" w:eastAsia="zh-CN"/>
        </w:rPr>
      </w:pPr>
      <w:r>
        <w:rPr>
          <w:rFonts w:hint="eastAsia"/>
          <w:lang w:val="en-US" w:eastAsia="zh-CN"/>
        </w:rPr>
        <w:t>Harmonized VHF broadcast phraseology templates; and</w:t>
      </w:r>
    </w:p>
    <w:p w14:paraId="64988B6E" w14:textId="77777777" w:rsidR="009478AB" w:rsidRDefault="000E1803">
      <w:pPr>
        <w:pStyle w:val="Bullet1"/>
        <w:suppressAutoHyphens/>
        <w:rPr>
          <w:lang w:val="en-US" w:eastAsia="zh-CN"/>
        </w:rPr>
      </w:pPr>
      <w:r>
        <w:rPr>
          <w:rFonts w:hint="eastAsia"/>
          <w:lang w:val="en-US" w:eastAsia="zh-CN"/>
        </w:rPr>
        <w:t>Harmonized basic requirements for recording, analysis, and archiving of adverse environmental condition events.</w:t>
      </w:r>
    </w:p>
    <w:p w14:paraId="4B29EC5D" w14:textId="77777777" w:rsidR="009478AB" w:rsidRDefault="000E1803">
      <w:pPr>
        <w:pStyle w:val="BodyText"/>
        <w:suppressAutoHyphens/>
        <w:rPr>
          <w:lang w:val="en-US" w:eastAsia="zh-CN"/>
        </w:rPr>
      </w:pPr>
      <w:r>
        <w:rPr>
          <w:rFonts w:hint="eastAsia"/>
          <w:lang w:val="en-US" w:eastAsia="zh-CN"/>
        </w:rPr>
        <w:t>Tier 2 – Regionally adaptive implementation, providing only operational templates and reference logic, without mandating uniform traffic control thresholds; each VTS provider may refine according to local circumstances:</w:t>
      </w:r>
    </w:p>
    <w:p w14:paraId="225D9570" w14:textId="77777777" w:rsidR="009478AB" w:rsidRDefault="000E1803">
      <w:pPr>
        <w:pStyle w:val="Bullet1"/>
        <w:suppressAutoHyphens/>
        <w:rPr>
          <w:lang w:val="en-US" w:eastAsia="zh-CN"/>
        </w:rPr>
      </w:pPr>
      <w:r>
        <w:rPr>
          <w:rFonts w:hint="eastAsia"/>
          <w:lang w:val="en-US" w:eastAsia="zh-CN"/>
        </w:rPr>
        <w:lastRenderedPageBreak/>
        <w:t>Reference template for risk classification: providing classification logic and critical values for wind force, visibility, tidal currents, ice conditions, etc. to be set by each VTS provider independently;</w:t>
      </w:r>
    </w:p>
    <w:p w14:paraId="7B3AA181" w14:textId="77777777" w:rsidR="009478AB" w:rsidRDefault="000E1803">
      <w:pPr>
        <w:pStyle w:val="Bullet1"/>
        <w:suppressAutoHyphens/>
        <w:rPr>
          <w:lang w:val="en-US" w:eastAsia="zh-CN"/>
        </w:rPr>
      </w:pPr>
      <w:r>
        <w:rPr>
          <w:rFonts w:hint="eastAsia"/>
          <w:lang w:val="en-US" w:eastAsia="zh-CN"/>
        </w:rPr>
        <w:t>Checklist of implementation measures: speed restrictions, anchoring, traffic suspension, compulsory pilotage/tug services, etc., to be combined by each VTS provider as needed; and</w:t>
      </w:r>
    </w:p>
    <w:p w14:paraId="1352DE6F" w14:textId="77777777" w:rsidR="009478AB" w:rsidRDefault="000E1803">
      <w:pPr>
        <w:pStyle w:val="Bullet1"/>
        <w:suppressAutoHyphens/>
        <w:rPr>
          <w:lang w:val="en-US" w:eastAsia="zh-CN"/>
        </w:rPr>
      </w:pPr>
      <w:r>
        <w:rPr>
          <w:rFonts w:hint="eastAsia"/>
          <w:lang w:val="en-US" w:eastAsia="zh-CN"/>
        </w:rPr>
        <w:t>Supplementary chapters for region-specific hazards: specific and other unique hazards.</w:t>
      </w:r>
    </w:p>
    <w:p w14:paraId="6D2BF282" w14:textId="77777777" w:rsidR="009478AB" w:rsidRDefault="000E1803">
      <w:pPr>
        <w:pStyle w:val="Heading1"/>
      </w:pPr>
      <w:r>
        <w:t>Action requested of the Committee</w:t>
      </w:r>
    </w:p>
    <w:p w14:paraId="4A03492E" w14:textId="77777777" w:rsidR="009478AB" w:rsidRDefault="000E1803">
      <w:pPr>
        <w:pStyle w:val="BodyText"/>
        <w:suppressAutoHyphens/>
      </w:pPr>
      <w:r>
        <w:rPr>
          <w:rFonts w:hint="eastAsia"/>
          <w:lang w:val="en-US" w:eastAsia="zh-CN"/>
        </w:rPr>
        <w:t>T</w:t>
      </w:r>
      <w:r>
        <w:t xml:space="preserve">he Committee </w:t>
      </w:r>
      <w:r>
        <w:rPr>
          <w:rFonts w:hint="eastAsia"/>
          <w:lang w:val="en-US" w:eastAsia="zh-CN"/>
        </w:rPr>
        <w:t xml:space="preserve">is requested to </w:t>
      </w:r>
      <w:r>
        <w:t xml:space="preserve">consider </w:t>
      </w:r>
      <w:r>
        <w:rPr>
          <w:rFonts w:hint="eastAsia"/>
        </w:rPr>
        <w:t>this proposal and</w:t>
      </w:r>
      <w:r>
        <w:rPr>
          <w:lang w:val="en-US"/>
        </w:rPr>
        <w:t xml:space="preserve"> </w:t>
      </w:r>
      <w:r>
        <w:rPr>
          <w:rFonts w:hint="eastAsia"/>
        </w:rPr>
        <w:t>include the development of Guidelines on Response for Adverse Environmental Conditions in the Work Programme 2027</w:t>
      </w:r>
      <w:r>
        <w:rPr>
          <w:rFonts w:hint="eastAsia"/>
          <w:lang w:eastAsia="zh-CN"/>
        </w:rPr>
        <w:t>-</w:t>
      </w:r>
      <w:r>
        <w:rPr>
          <w:rFonts w:hint="eastAsia"/>
        </w:rPr>
        <w:t>2030</w:t>
      </w:r>
      <w:r>
        <w:t>.</w:t>
      </w:r>
    </w:p>
    <w:sectPr w:rsidR="009478AB">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1AFE" w14:textId="77777777" w:rsidR="0084434F" w:rsidRDefault="0084434F">
      <w:pPr>
        <w:spacing w:line="240" w:lineRule="auto"/>
      </w:pPr>
      <w:r>
        <w:separator/>
      </w:r>
    </w:p>
  </w:endnote>
  <w:endnote w:type="continuationSeparator" w:id="0">
    <w:p w14:paraId="31CEF370" w14:textId="77777777" w:rsidR="0084434F" w:rsidRDefault="008443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1" w:usb3="00000000" w:csb0="400001BF" w:csb1="DFF7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2A985" w14:textId="77777777" w:rsidR="009478AB" w:rsidRDefault="009478AB">
    <w:pPr>
      <w:pStyle w:val="Footerportrait"/>
    </w:pPr>
  </w:p>
  <w:p w14:paraId="0DDE20CC" w14:textId="7643C7E6" w:rsidR="009478AB" w:rsidRDefault="000E1803">
    <w:pPr>
      <w:pStyle w:val="Footerportrait"/>
    </w:pPr>
    <w:fldSimple w:instr=" STYLEREF  Title  \* MERGEFORMAT ">
      <w:r w:rsidR="00711EDE" w:rsidRPr="00711EDE">
        <w:rPr>
          <w:rFonts w:eastAsia="SimSun"/>
          <w:b w:val="0"/>
          <w:bCs/>
          <w:noProof/>
          <w:lang w:eastAsia="zh-CN"/>
        </w:rPr>
        <w:t>PROPOSAL TO DEVELOP GUIDELINES on RESPONSE</w:t>
      </w:r>
      <w:r w:rsidR="00711EDE">
        <w:rPr>
          <w:noProof/>
        </w:rPr>
        <w:t xml:space="preserve"> TO ADVERSE ENVIRONMENTAL CONDITIONS AS A NEW TASK FOR THE WORK PROGRAMME  2027-2030</w:t>
      </w:r>
    </w:fldSimple>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1D9CDE8B" w14:textId="77777777" w:rsidR="009478AB" w:rsidRDefault="009478AB">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8115A" w14:textId="77777777" w:rsidR="0084434F" w:rsidRDefault="0084434F">
      <w:pPr>
        <w:spacing w:line="240" w:lineRule="auto"/>
      </w:pPr>
      <w:r>
        <w:separator/>
      </w:r>
    </w:p>
  </w:footnote>
  <w:footnote w:type="continuationSeparator" w:id="0">
    <w:p w14:paraId="5DEF9863" w14:textId="77777777" w:rsidR="0084434F" w:rsidRDefault="0084434F">
      <w:pPr>
        <w:spacing w:line="240" w:lineRule="auto"/>
      </w:pPr>
      <w:r>
        <w:continuationSeparator/>
      </w:r>
    </w:p>
  </w:footnote>
  <w:footnote w:id="1">
    <w:p w14:paraId="0C9E17AB" w14:textId="77777777" w:rsidR="009478AB" w:rsidRDefault="000E1803">
      <w:pPr>
        <w:pStyle w:val="FootnoteText"/>
      </w:pPr>
      <w:r>
        <w:footnoteRef/>
      </w:r>
      <w:r>
        <w:t xml:space="preserve"> Input document number, to be assigned by the Committee Secretary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82E6F" w14:textId="77777777" w:rsidR="009478AB" w:rsidRDefault="000E1803">
    <w:pPr>
      <w:pStyle w:val="Header"/>
      <w:jc w:val="right"/>
    </w:pPr>
    <w:r>
      <w:rPr>
        <w:noProof/>
        <w:lang w:val="nl-NL" w:eastAsia="nl-NL"/>
      </w:rPr>
      <w:drawing>
        <wp:anchor distT="0" distB="0" distL="114300" distR="114300" simplePos="0" relativeHeight="251659264" behindDoc="0" locked="0" layoutInCell="1" allowOverlap="1" wp14:anchorId="0A377479" wp14:editId="0C7C037A">
          <wp:simplePos x="0" y="0"/>
          <wp:positionH relativeFrom="column">
            <wp:posOffset>6055995</wp:posOffset>
          </wp:positionH>
          <wp:positionV relativeFrom="paragraph">
            <wp:posOffset>-185420</wp:posOffset>
          </wp:positionV>
          <wp:extent cx="574675" cy="560070"/>
          <wp:effectExtent l="0" t="0" r="0" b="0"/>
          <wp:wrapSquare wrapText="bothSides"/>
          <wp:docPr id="2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BFC4EF"/>
    <w:multiLevelType w:val="singleLevel"/>
    <w:tmpl w:val="EDBFC4EF"/>
    <w:lvl w:ilvl="0">
      <w:start w:val="1"/>
      <w:numFmt w:val="bullet"/>
      <w:pStyle w:val="ListBullet5"/>
      <w:lvlText w:val=""/>
      <w:lvlJc w:val="left"/>
      <w:pPr>
        <w:tabs>
          <w:tab w:val="left" w:pos="2040"/>
        </w:tabs>
        <w:ind w:left="204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0"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lvlText w:val="%1.%2.%3.%4."/>
      <w:lvlJc w:val="left"/>
      <w:pPr>
        <w:tabs>
          <w:tab w:val="left"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D26D20"/>
    <w:multiLevelType w:val="multilevel"/>
    <w:tmpl w:val="69D26D20"/>
    <w:lvl w:ilvl="0">
      <w:start w:val="1"/>
      <w:numFmt w:val="none"/>
      <w:lvlText w:val="%1"/>
      <w:lvlJc w:val="left"/>
      <w:pPr>
        <w:tabs>
          <w:tab w:val="left" w:pos="1141"/>
        </w:tabs>
        <w:ind w:left="1141" w:hanging="432"/>
      </w:pPr>
    </w:lvl>
    <w:lvl w:ilvl="1">
      <w:start w:val="1"/>
      <w:numFmt w:val="none"/>
      <w:lvlText w:val="%1"/>
      <w:lvlJc w:val="left"/>
      <w:pPr>
        <w:tabs>
          <w:tab w:val="left" w:pos="1285"/>
        </w:tabs>
        <w:ind w:left="1285" w:hanging="576"/>
      </w:pPr>
    </w:lvl>
    <w:lvl w:ilvl="2">
      <w:start w:val="1"/>
      <w:numFmt w:val="decimal"/>
      <w:lvlRestart w:val="0"/>
      <w:pStyle w:val="ParaText"/>
      <w:lvlText w:val="%3%1."/>
      <w:lvlJc w:val="left"/>
      <w:pPr>
        <w:tabs>
          <w:tab w:val="left" w:pos="1418"/>
        </w:tabs>
        <w:ind w:left="1418" w:hanging="1418"/>
      </w:pPr>
      <w:rPr>
        <w:rFonts w:ascii="SimSun" w:eastAsia="SimSun" w:hAnsi="SimSun" w:cs="SimSun" w:hint="default"/>
        <w:b w:val="0"/>
        <w:bCs w:val="0"/>
        <w:i w:val="0"/>
        <w:color w:val="000000" w:themeColor="text1"/>
      </w:rPr>
    </w:lvl>
    <w:lvl w:ilvl="3">
      <w:start w:val="1"/>
      <w:numFmt w:val="lowerLetter"/>
      <w:lvlText w:val="(%4%1)"/>
      <w:lvlJc w:val="left"/>
      <w:pPr>
        <w:tabs>
          <w:tab w:val="left" w:pos="1573"/>
        </w:tabs>
        <w:ind w:left="1573" w:hanging="864"/>
      </w:pPr>
      <w:rPr>
        <w:rFonts w:ascii="Calibri" w:hAnsi="Calibri" w:hint="default"/>
        <w:sz w:val="25"/>
        <w:szCs w:val="25"/>
      </w:rPr>
    </w:lvl>
    <w:lvl w:ilvl="4">
      <w:start w:val="1"/>
      <w:numFmt w:val="lowerRoman"/>
      <w:lvlText w:val="(%5)"/>
      <w:lvlJc w:val="left"/>
      <w:pPr>
        <w:tabs>
          <w:tab w:val="left" w:pos="1717"/>
        </w:tabs>
        <w:ind w:left="1717" w:hanging="1008"/>
      </w:pPr>
      <w:rPr>
        <w:rFonts w:ascii="Calibri" w:hAnsi="Calibri" w:hint="default"/>
        <w:sz w:val="25"/>
        <w:szCs w:val="25"/>
      </w:rPr>
    </w:lvl>
    <w:lvl w:ilvl="5">
      <w:start w:val="1"/>
      <w:numFmt w:val="none"/>
      <w:lvlText w:val=""/>
      <w:lvlJc w:val="left"/>
      <w:pPr>
        <w:tabs>
          <w:tab w:val="left" w:pos="1701"/>
        </w:tabs>
        <w:ind w:left="1701" w:hanging="567"/>
      </w:pPr>
    </w:lvl>
    <w:lvl w:ilvl="6">
      <w:start w:val="1"/>
      <w:numFmt w:val="none"/>
      <w:lvlText w:val="%1"/>
      <w:lvlJc w:val="left"/>
      <w:pPr>
        <w:tabs>
          <w:tab w:val="left" w:pos="2005"/>
        </w:tabs>
        <w:ind w:left="2005" w:hanging="1296"/>
      </w:pPr>
    </w:lvl>
    <w:lvl w:ilvl="7">
      <w:start w:val="1"/>
      <w:numFmt w:val="none"/>
      <w:lvlText w:val="%1"/>
      <w:lvlJc w:val="left"/>
      <w:pPr>
        <w:tabs>
          <w:tab w:val="left" w:pos="2149"/>
        </w:tabs>
        <w:ind w:left="2149" w:hanging="1440"/>
      </w:pPr>
    </w:lvl>
    <w:lvl w:ilvl="8">
      <w:start w:val="1"/>
      <w:numFmt w:val="none"/>
      <w:lvlText w:val="%1"/>
      <w:lvlJc w:val="left"/>
      <w:pPr>
        <w:tabs>
          <w:tab w:val="left" w:pos="2293"/>
        </w:tabs>
        <w:ind w:left="2293" w:hanging="1584"/>
      </w:pPr>
    </w:lvl>
  </w:abstractNum>
  <w:abstractNum w:abstractNumId="22"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4"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3352915">
    <w:abstractNumId w:val="20"/>
  </w:num>
  <w:num w:numId="2" w16cid:durableId="1238904507">
    <w:abstractNumId w:val="0"/>
  </w:num>
  <w:num w:numId="3" w16cid:durableId="480468149">
    <w:abstractNumId w:val="1"/>
  </w:num>
  <w:num w:numId="4" w16cid:durableId="150754081">
    <w:abstractNumId w:val="4"/>
  </w:num>
  <w:num w:numId="5" w16cid:durableId="1228302035">
    <w:abstractNumId w:val="15"/>
  </w:num>
  <w:num w:numId="6" w16cid:durableId="1500655207">
    <w:abstractNumId w:val="2"/>
  </w:num>
  <w:num w:numId="7" w16cid:durableId="2035113429">
    <w:abstractNumId w:val="22"/>
  </w:num>
  <w:num w:numId="8" w16cid:durableId="286206321">
    <w:abstractNumId w:val="16"/>
  </w:num>
  <w:num w:numId="9" w16cid:durableId="996223536">
    <w:abstractNumId w:val="25"/>
  </w:num>
  <w:num w:numId="10" w16cid:durableId="1727220921">
    <w:abstractNumId w:val="24"/>
  </w:num>
  <w:num w:numId="11" w16cid:durableId="1007319605">
    <w:abstractNumId w:val="19"/>
  </w:num>
  <w:num w:numId="12" w16cid:durableId="237709417">
    <w:abstractNumId w:val="14"/>
  </w:num>
  <w:num w:numId="13" w16cid:durableId="1678458243">
    <w:abstractNumId w:val="17"/>
  </w:num>
  <w:num w:numId="14" w16cid:durableId="1569152924">
    <w:abstractNumId w:val="13"/>
  </w:num>
  <w:num w:numId="15" w16cid:durableId="1011955727">
    <w:abstractNumId w:val="6"/>
  </w:num>
  <w:num w:numId="16" w16cid:durableId="1894344126">
    <w:abstractNumId w:val="3"/>
  </w:num>
  <w:num w:numId="17" w16cid:durableId="1843399104">
    <w:abstractNumId w:val="5"/>
  </w:num>
  <w:num w:numId="18" w16cid:durableId="815955785">
    <w:abstractNumId w:val="23"/>
  </w:num>
  <w:num w:numId="19" w16cid:durableId="549154119">
    <w:abstractNumId w:val="9"/>
  </w:num>
  <w:num w:numId="20" w16cid:durableId="595284107">
    <w:abstractNumId w:val="10"/>
  </w:num>
  <w:num w:numId="21" w16cid:durableId="1877696689">
    <w:abstractNumId w:val="8"/>
  </w:num>
  <w:num w:numId="22" w16cid:durableId="1081873513">
    <w:abstractNumId w:val="7"/>
  </w:num>
  <w:num w:numId="23" w16cid:durableId="340473194">
    <w:abstractNumId w:val="18"/>
  </w:num>
  <w:num w:numId="24" w16cid:durableId="730270319">
    <w:abstractNumId w:val="12"/>
  </w:num>
  <w:num w:numId="25" w16cid:durableId="631710716">
    <w:abstractNumId w:val="11"/>
  </w:num>
  <w:num w:numId="26" w16cid:durableId="18493675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22863"/>
    <w:rsid w:val="0003135E"/>
    <w:rsid w:val="00036B9E"/>
    <w:rsid w:val="00037DF4"/>
    <w:rsid w:val="00041AA1"/>
    <w:rsid w:val="000450C7"/>
    <w:rsid w:val="0004700E"/>
    <w:rsid w:val="00052D22"/>
    <w:rsid w:val="00057FCA"/>
    <w:rsid w:val="00070C13"/>
    <w:rsid w:val="000715C9"/>
    <w:rsid w:val="000717BA"/>
    <w:rsid w:val="00084F33"/>
    <w:rsid w:val="00087163"/>
    <w:rsid w:val="000A77A7"/>
    <w:rsid w:val="000B1707"/>
    <w:rsid w:val="000C047A"/>
    <w:rsid w:val="000C1B3E"/>
    <w:rsid w:val="000C349E"/>
    <w:rsid w:val="000C6260"/>
    <w:rsid w:val="000E1803"/>
    <w:rsid w:val="000E3691"/>
    <w:rsid w:val="000F2D4D"/>
    <w:rsid w:val="00110203"/>
    <w:rsid w:val="00110AE7"/>
    <w:rsid w:val="001241C8"/>
    <w:rsid w:val="00154A19"/>
    <w:rsid w:val="00163058"/>
    <w:rsid w:val="00177F4D"/>
    <w:rsid w:val="00180DDA"/>
    <w:rsid w:val="001B2A2D"/>
    <w:rsid w:val="001B737D"/>
    <w:rsid w:val="001C44A3"/>
    <w:rsid w:val="001C77BB"/>
    <w:rsid w:val="001D05B9"/>
    <w:rsid w:val="001D5084"/>
    <w:rsid w:val="001E0E15"/>
    <w:rsid w:val="001F528A"/>
    <w:rsid w:val="001F704E"/>
    <w:rsid w:val="0020054C"/>
    <w:rsid w:val="00201722"/>
    <w:rsid w:val="002125B0"/>
    <w:rsid w:val="00221E08"/>
    <w:rsid w:val="00237D7C"/>
    <w:rsid w:val="00237FFE"/>
    <w:rsid w:val="00243228"/>
    <w:rsid w:val="00251483"/>
    <w:rsid w:val="00255CAA"/>
    <w:rsid w:val="0025741F"/>
    <w:rsid w:val="00264305"/>
    <w:rsid w:val="00275B33"/>
    <w:rsid w:val="00286FEF"/>
    <w:rsid w:val="0029348D"/>
    <w:rsid w:val="00296AB9"/>
    <w:rsid w:val="002A0346"/>
    <w:rsid w:val="002A0929"/>
    <w:rsid w:val="002A4487"/>
    <w:rsid w:val="002B49E9"/>
    <w:rsid w:val="002C632E"/>
    <w:rsid w:val="002D1B05"/>
    <w:rsid w:val="002D3E8B"/>
    <w:rsid w:val="002D4575"/>
    <w:rsid w:val="002D5C0C"/>
    <w:rsid w:val="002E03D1"/>
    <w:rsid w:val="002E6B74"/>
    <w:rsid w:val="002E6FCA"/>
    <w:rsid w:val="00312A4E"/>
    <w:rsid w:val="003351C4"/>
    <w:rsid w:val="00336508"/>
    <w:rsid w:val="0035243F"/>
    <w:rsid w:val="00356CD0"/>
    <w:rsid w:val="00362CD9"/>
    <w:rsid w:val="003761CA"/>
    <w:rsid w:val="0038049E"/>
    <w:rsid w:val="00380DAF"/>
    <w:rsid w:val="0039160D"/>
    <w:rsid w:val="0039363F"/>
    <w:rsid w:val="003972CE"/>
    <w:rsid w:val="003A0D98"/>
    <w:rsid w:val="003B2635"/>
    <w:rsid w:val="003B28F5"/>
    <w:rsid w:val="003B7B7D"/>
    <w:rsid w:val="003C54CB"/>
    <w:rsid w:val="003C7A2A"/>
    <w:rsid w:val="003D25A2"/>
    <w:rsid w:val="003D2DC1"/>
    <w:rsid w:val="003D69D0"/>
    <w:rsid w:val="003F2918"/>
    <w:rsid w:val="003F430E"/>
    <w:rsid w:val="003F7791"/>
    <w:rsid w:val="004061DF"/>
    <w:rsid w:val="0041088C"/>
    <w:rsid w:val="0041230E"/>
    <w:rsid w:val="00420A38"/>
    <w:rsid w:val="00421A6D"/>
    <w:rsid w:val="004233FB"/>
    <w:rsid w:val="00426DB3"/>
    <w:rsid w:val="00431B19"/>
    <w:rsid w:val="004533B7"/>
    <w:rsid w:val="0045648D"/>
    <w:rsid w:val="004661AD"/>
    <w:rsid w:val="00492F7B"/>
    <w:rsid w:val="004A52DA"/>
    <w:rsid w:val="004B701D"/>
    <w:rsid w:val="004C2361"/>
    <w:rsid w:val="004D1D85"/>
    <w:rsid w:val="004D3C3A"/>
    <w:rsid w:val="004E1CD1"/>
    <w:rsid w:val="004F3E47"/>
    <w:rsid w:val="004F7616"/>
    <w:rsid w:val="0050690E"/>
    <w:rsid w:val="005107EB"/>
    <w:rsid w:val="00521345"/>
    <w:rsid w:val="00526DF0"/>
    <w:rsid w:val="00545CC4"/>
    <w:rsid w:val="00551FFF"/>
    <w:rsid w:val="005607A2"/>
    <w:rsid w:val="0057198B"/>
    <w:rsid w:val="00573CFE"/>
    <w:rsid w:val="00580AEF"/>
    <w:rsid w:val="005969F2"/>
    <w:rsid w:val="00597FAE"/>
    <w:rsid w:val="005A1EA9"/>
    <w:rsid w:val="005B32A3"/>
    <w:rsid w:val="005C0D44"/>
    <w:rsid w:val="005C566C"/>
    <w:rsid w:val="005C7E69"/>
    <w:rsid w:val="005E262D"/>
    <w:rsid w:val="005F23D3"/>
    <w:rsid w:val="005F7E20"/>
    <w:rsid w:val="00605E43"/>
    <w:rsid w:val="006122F5"/>
    <w:rsid w:val="006153BB"/>
    <w:rsid w:val="00635ADD"/>
    <w:rsid w:val="00637047"/>
    <w:rsid w:val="00660009"/>
    <w:rsid w:val="006652C3"/>
    <w:rsid w:val="00670A54"/>
    <w:rsid w:val="00680A1D"/>
    <w:rsid w:val="00691FD0"/>
    <w:rsid w:val="00692148"/>
    <w:rsid w:val="006A1A1E"/>
    <w:rsid w:val="006A5271"/>
    <w:rsid w:val="006C5948"/>
    <w:rsid w:val="006D50A6"/>
    <w:rsid w:val="006E2121"/>
    <w:rsid w:val="006F2A74"/>
    <w:rsid w:val="007118F5"/>
    <w:rsid w:val="00711EDE"/>
    <w:rsid w:val="00712490"/>
    <w:rsid w:val="00712AA4"/>
    <w:rsid w:val="007146C4"/>
    <w:rsid w:val="00721AA1"/>
    <w:rsid w:val="00724B67"/>
    <w:rsid w:val="007523B7"/>
    <w:rsid w:val="007547F8"/>
    <w:rsid w:val="00765622"/>
    <w:rsid w:val="00770B6C"/>
    <w:rsid w:val="00774730"/>
    <w:rsid w:val="00783FEA"/>
    <w:rsid w:val="00785FFE"/>
    <w:rsid w:val="007926DC"/>
    <w:rsid w:val="007A395D"/>
    <w:rsid w:val="007B2463"/>
    <w:rsid w:val="007C346C"/>
    <w:rsid w:val="007C5077"/>
    <w:rsid w:val="007C63B6"/>
    <w:rsid w:val="007D63E3"/>
    <w:rsid w:val="0080294B"/>
    <w:rsid w:val="0082480E"/>
    <w:rsid w:val="0084434F"/>
    <w:rsid w:val="00850293"/>
    <w:rsid w:val="00851373"/>
    <w:rsid w:val="00851BA6"/>
    <w:rsid w:val="0085654D"/>
    <w:rsid w:val="00861160"/>
    <w:rsid w:val="00861801"/>
    <w:rsid w:val="0086654F"/>
    <w:rsid w:val="008702A8"/>
    <w:rsid w:val="0087239B"/>
    <w:rsid w:val="00877D05"/>
    <w:rsid w:val="0089205E"/>
    <w:rsid w:val="00892CA4"/>
    <w:rsid w:val="008A356F"/>
    <w:rsid w:val="008A3ECA"/>
    <w:rsid w:val="008A4653"/>
    <w:rsid w:val="008A4717"/>
    <w:rsid w:val="008A50CC"/>
    <w:rsid w:val="008B3C79"/>
    <w:rsid w:val="008D1694"/>
    <w:rsid w:val="008D7160"/>
    <w:rsid w:val="008D79CB"/>
    <w:rsid w:val="008E28CC"/>
    <w:rsid w:val="008E7F85"/>
    <w:rsid w:val="008F07BC"/>
    <w:rsid w:val="00904066"/>
    <w:rsid w:val="009112B4"/>
    <w:rsid w:val="0092692B"/>
    <w:rsid w:val="00934A02"/>
    <w:rsid w:val="00943E9C"/>
    <w:rsid w:val="009478AB"/>
    <w:rsid w:val="00953F4D"/>
    <w:rsid w:val="00960BB8"/>
    <w:rsid w:val="00964F5C"/>
    <w:rsid w:val="00965B98"/>
    <w:rsid w:val="00973B57"/>
    <w:rsid w:val="009831C0"/>
    <w:rsid w:val="00984F62"/>
    <w:rsid w:val="009874F9"/>
    <w:rsid w:val="0099161D"/>
    <w:rsid w:val="00997320"/>
    <w:rsid w:val="009C5F41"/>
    <w:rsid w:val="009E6F84"/>
    <w:rsid w:val="00A01B17"/>
    <w:rsid w:val="00A0389B"/>
    <w:rsid w:val="00A26017"/>
    <w:rsid w:val="00A44404"/>
    <w:rsid w:val="00A446C9"/>
    <w:rsid w:val="00A453F1"/>
    <w:rsid w:val="00A56C33"/>
    <w:rsid w:val="00A57AAF"/>
    <w:rsid w:val="00A635D6"/>
    <w:rsid w:val="00A64C49"/>
    <w:rsid w:val="00A717FC"/>
    <w:rsid w:val="00A72757"/>
    <w:rsid w:val="00A800A9"/>
    <w:rsid w:val="00A8553A"/>
    <w:rsid w:val="00A93AED"/>
    <w:rsid w:val="00AA66AF"/>
    <w:rsid w:val="00AE02BE"/>
    <w:rsid w:val="00AE1319"/>
    <w:rsid w:val="00AE34BB"/>
    <w:rsid w:val="00B0084A"/>
    <w:rsid w:val="00B02E05"/>
    <w:rsid w:val="00B0520E"/>
    <w:rsid w:val="00B226F2"/>
    <w:rsid w:val="00B274DF"/>
    <w:rsid w:val="00B351F6"/>
    <w:rsid w:val="00B55231"/>
    <w:rsid w:val="00B56BDF"/>
    <w:rsid w:val="00B65812"/>
    <w:rsid w:val="00B661C7"/>
    <w:rsid w:val="00B80530"/>
    <w:rsid w:val="00B82C1D"/>
    <w:rsid w:val="00B85CD6"/>
    <w:rsid w:val="00B90A27"/>
    <w:rsid w:val="00B93C77"/>
    <w:rsid w:val="00B9554D"/>
    <w:rsid w:val="00BA4DA9"/>
    <w:rsid w:val="00BB1B9A"/>
    <w:rsid w:val="00BB244F"/>
    <w:rsid w:val="00BB2B9F"/>
    <w:rsid w:val="00BB7D9E"/>
    <w:rsid w:val="00BC07B3"/>
    <w:rsid w:val="00BC2334"/>
    <w:rsid w:val="00BC71BC"/>
    <w:rsid w:val="00BD3CB8"/>
    <w:rsid w:val="00BD4E6F"/>
    <w:rsid w:val="00BE700D"/>
    <w:rsid w:val="00BF32F0"/>
    <w:rsid w:val="00BF4881"/>
    <w:rsid w:val="00BF4DCE"/>
    <w:rsid w:val="00C01C00"/>
    <w:rsid w:val="00C02DDD"/>
    <w:rsid w:val="00C05CE5"/>
    <w:rsid w:val="00C309E4"/>
    <w:rsid w:val="00C52A4D"/>
    <w:rsid w:val="00C53902"/>
    <w:rsid w:val="00C57A58"/>
    <w:rsid w:val="00C6171E"/>
    <w:rsid w:val="00C62DB4"/>
    <w:rsid w:val="00C865DF"/>
    <w:rsid w:val="00CA6F2C"/>
    <w:rsid w:val="00CC79CE"/>
    <w:rsid w:val="00CD13B9"/>
    <w:rsid w:val="00CF1871"/>
    <w:rsid w:val="00CF48D6"/>
    <w:rsid w:val="00D019CE"/>
    <w:rsid w:val="00D1133E"/>
    <w:rsid w:val="00D17A34"/>
    <w:rsid w:val="00D26628"/>
    <w:rsid w:val="00D332B3"/>
    <w:rsid w:val="00D359CC"/>
    <w:rsid w:val="00D423E5"/>
    <w:rsid w:val="00D55207"/>
    <w:rsid w:val="00D60825"/>
    <w:rsid w:val="00D61CA8"/>
    <w:rsid w:val="00D74502"/>
    <w:rsid w:val="00D81801"/>
    <w:rsid w:val="00D92B45"/>
    <w:rsid w:val="00D95962"/>
    <w:rsid w:val="00DB796E"/>
    <w:rsid w:val="00DC389B"/>
    <w:rsid w:val="00DE2FEE"/>
    <w:rsid w:val="00DF2270"/>
    <w:rsid w:val="00DF6DCD"/>
    <w:rsid w:val="00E00BE9"/>
    <w:rsid w:val="00E04761"/>
    <w:rsid w:val="00E16CA8"/>
    <w:rsid w:val="00E22A11"/>
    <w:rsid w:val="00E31E5C"/>
    <w:rsid w:val="00E3704A"/>
    <w:rsid w:val="00E44DD2"/>
    <w:rsid w:val="00E558C3"/>
    <w:rsid w:val="00E55927"/>
    <w:rsid w:val="00E56D61"/>
    <w:rsid w:val="00E611D2"/>
    <w:rsid w:val="00E61959"/>
    <w:rsid w:val="00E77F07"/>
    <w:rsid w:val="00E912A6"/>
    <w:rsid w:val="00EA4844"/>
    <w:rsid w:val="00EA4D9C"/>
    <w:rsid w:val="00EA5A97"/>
    <w:rsid w:val="00EB75EE"/>
    <w:rsid w:val="00ED105A"/>
    <w:rsid w:val="00EE4C1D"/>
    <w:rsid w:val="00EF3685"/>
    <w:rsid w:val="00EF7159"/>
    <w:rsid w:val="00F04350"/>
    <w:rsid w:val="00F133DB"/>
    <w:rsid w:val="00F159EB"/>
    <w:rsid w:val="00F20DBB"/>
    <w:rsid w:val="00F25BF4"/>
    <w:rsid w:val="00F267DB"/>
    <w:rsid w:val="00F46F6F"/>
    <w:rsid w:val="00F60608"/>
    <w:rsid w:val="00F62217"/>
    <w:rsid w:val="00F71ACC"/>
    <w:rsid w:val="00F74681"/>
    <w:rsid w:val="00F844EC"/>
    <w:rsid w:val="00F91B47"/>
    <w:rsid w:val="00F9268D"/>
    <w:rsid w:val="00FB17A9"/>
    <w:rsid w:val="00FB527C"/>
    <w:rsid w:val="00FB6F75"/>
    <w:rsid w:val="00FC0B79"/>
    <w:rsid w:val="00FC0EB3"/>
    <w:rsid w:val="00FC3B68"/>
    <w:rsid w:val="00FD675E"/>
    <w:rsid w:val="00FE5674"/>
    <w:rsid w:val="04510922"/>
    <w:rsid w:val="04D10807"/>
    <w:rsid w:val="04DD3F64"/>
    <w:rsid w:val="06231E4A"/>
    <w:rsid w:val="072636EA"/>
    <w:rsid w:val="0B7E024F"/>
    <w:rsid w:val="0C797029"/>
    <w:rsid w:val="0D981B99"/>
    <w:rsid w:val="109A371A"/>
    <w:rsid w:val="10DE42D3"/>
    <w:rsid w:val="11DA1F57"/>
    <w:rsid w:val="128819B3"/>
    <w:rsid w:val="155D324A"/>
    <w:rsid w:val="170D2D94"/>
    <w:rsid w:val="19B82418"/>
    <w:rsid w:val="1C690FA3"/>
    <w:rsid w:val="211414C6"/>
    <w:rsid w:val="21182154"/>
    <w:rsid w:val="228A3D70"/>
    <w:rsid w:val="243454F7"/>
    <w:rsid w:val="2696580E"/>
    <w:rsid w:val="2A337FFE"/>
    <w:rsid w:val="2A790107"/>
    <w:rsid w:val="2C67746F"/>
    <w:rsid w:val="2D0A32AD"/>
    <w:rsid w:val="2DDB2E87"/>
    <w:rsid w:val="2FCF5241"/>
    <w:rsid w:val="31CA5C1E"/>
    <w:rsid w:val="379D1B89"/>
    <w:rsid w:val="3D3FFE1D"/>
    <w:rsid w:val="3E630A5B"/>
    <w:rsid w:val="3E823B0A"/>
    <w:rsid w:val="413C5593"/>
    <w:rsid w:val="42C13FA2"/>
    <w:rsid w:val="44102666"/>
    <w:rsid w:val="483920D9"/>
    <w:rsid w:val="49F745AF"/>
    <w:rsid w:val="4AA20B5D"/>
    <w:rsid w:val="4C7B1260"/>
    <w:rsid w:val="4D0A4797"/>
    <w:rsid w:val="50834F8C"/>
    <w:rsid w:val="56DE116E"/>
    <w:rsid w:val="5A113973"/>
    <w:rsid w:val="5A7BEEC7"/>
    <w:rsid w:val="5A820063"/>
    <w:rsid w:val="5AC04F01"/>
    <w:rsid w:val="61972646"/>
    <w:rsid w:val="62057B6D"/>
    <w:rsid w:val="64572560"/>
    <w:rsid w:val="67F349DB"/>
    <w:rsid w:val="683923EF"/>
    <w:rsid w:val="68FB7DE1"/>
    <w:rsid w:val="6DFFB8F1"/>
    <w:rsid w:val="6E647D53"/>
    <w:rsid w:val="71325EE7"/>
    <w:rsid w:val="713E2ADE"/>
    <w:rsid w:val="715352FB"/>
    <w:rsid w:val="73813156"/>
    <w:rsid w:val="73FF2391"/>
    <w:rsid w:val="741B0EB4"/>
    <w:rsid w:val="744321B9"/>
    <w:rsid w:val="76B63116"/>
    <w:rsid w:val="77DF56F2"/>
    <w:rsid w:val="77F32248"/>
    <w:rsid w:val="79FC7E70"/>
    <w:rsid w:val="7AD87AFF"/>
    <w:rsid w:val="7B7F8DC4"/>
    <w:rsid w:val="7DFDC014"/>
    <w:rsid w:val="8ADFF2AE"/>
    <w:rsid w:val="9AC7EB7A"/>
    <w:rsid w:val="A59CE654"/>
    <w:rsid w:val="BFFF8B17"/>
    <w:rsid w:val="FB5BC5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7756C3"/>
  <w15:docId w15:val="{BEA44C95-EBD8-4FB6-A0C5-F66FEDCC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nhideWhenUsed="1" w:qFormat="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val="en-GB"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tabs>
        <w:tab w:val="left" w:pos="283"/>
      </w:tabs>
      <w:spacing w:before="120" w:after="120"/>
      <w:ind w:right="851"/>
      <w:outlineLvl w:val="2"/>
    </w:pPr>
    <w:rPr>
      <w:bCs/>
      <w:caps w:val="0"/>
      <w:smallCaps/>
    </w:rPr>
  </w:style>
  <w:style w:type="paragraph" w:styleId="Heading4">
    <w:name w:val="heading 4"/>
    <w:basedOn w:val="Normal"/>
    <w:next w:val="Normal"/>
    <w:link w:val="Heading4Char"/>
    <w:qFormat/>
    <w:pPr>
      <w:tabs>
        <w:tab w:val="left" w:pos="0"/>
      </w:tabs>
      <w:ind w:right="992"/>
      <w:outlineLvl w:val="3"/>
    </w:pPr>
    <w:rPr>
      <w:iCs/>
      <w:sz w:val="22"/>
    </w:rPr>
  </w:style>
  <w:style w:type="paragraph" w:styleId="Heading5">
    <w:name w:val="heading 5"/>
    <w:basedOn w:val="Heading4"/>
    <w:next w:val="Normal"/>
    <w:link w:val="Heading5Char"/>
    <w:qFormat/>
    <w:pPr>
      <w:spacing w:before="200"/>
      <w:ind w:left="1701" w:hanging="1701"/>
      <w:outlineLvl w:val="4"/>
    </w:p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ListBullet5"/>
    <w:link w:val="BodyTextChar"/>
    <w:unhideWhenUsed/>
    <w:qFormat/>
    <w:pPr>
      <w:spacing w:after="120"/>
      <w:jc w:val="both"/>
    </w:pPr>
    <w:rPr>
      <w:sz w:val="22"/>
    </w:rPr>
  </w:style>
  <w:style w:type="paragraph" w:styleId="ListBullet5">
    <w:name w:val="List Bullet 5"/>
    <w:basedOn w:val="Normal"/>
    <w:uiPriority w:val="99"/>
    <w:unhideWhenUsed/>
    <w:qFormat/>
    <w:pPr>
      <w:numPr>
        <w:numId w:val="2"/>
      </w:numPr>
    </w:p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3"/>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val="en-GB" w:eastAsia="en-US"/>
    </w:rPr>
  </w:style>
  <w:style w:type="paragraph" w:styleId="Header">
    <w:name w:val="header"/>
    <w:link w:val="HeaderChar"/>
    <w:qFormat/>
    <w:pPr>
      <w:spacing w:line="240" w:lineRule="exact"/>
    </w:pPr>
    <w:rPr>
      <w:rFonts w:asciiTheme="minorHAnsi" w:eastAsiaTheme="minorHAnsi" w:hAnsiTheme="minorHAnsi" w:cstheme="minorBidi"/>
      <w:szCs w:val="22"/>
      <w:lang w:val="en-GB" w:eastAsia="en-US"/>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autoRedefine/>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Strong">
    <w:name w:val="Strong"/>
    <w:basedOn w:val="DefaultParagraphFont"/>
    <w:uiPriority w:val="22"/>
    <w:qFormat/>
    <w:rPr>
      <w:b/>
    </w:r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4"/>
      </w:numPr>
      <w:spacing w:after="360" w:line="276" w:lineRule="auto"/>
    </w:pPr>
    <w:rPr>
      <w:rFonts w:asciiTheme="minorHAnsi" w:eastAsiaTheme="minorHAnsi" w:hAnsiTheme="minorHAnsi" w:cstheme="minorBidi"/>
      <w:b/>
      <w:caps/>
      <w:color w:val="00558C"/>
      <w:sz w:val="28"/>
      <w:szCs w:val="22"/>
      <w:lang w:val="en-GB" w:eastAsia="en-US"/>
    </w:rPr>
  </w:style>
  <w:style w:type="paragraph" w:customStyle="1" w:styleId="AnnexFigure">
    <w:name w:val="Annex Figure"/>
    <w:basedOn w:val="Normal"/>
    <w:next w:val="Normal"/>
    <w:qFormat/>
    <w:pPr>
      <w:numPr>
        <w:numId w:val="5"/>
      </w:numPr>
      <w:spacing w:before="120" w:after="120"/>
      <w:jc w:val="center"/>
    </w:pPr>
    <w:rPr>
      <w:i/>
    </w:rPr>
  </w:style>
  <w:style w:type="paragraph" w:customStyle="1" w:styleId="AnnexHeading1">
    <w:name w:val="Annex Heading 1"/>
    <w:basedOn w:val="Normal"/>
    <w:next w:val="BodyText"/>
    <w:qFormat/>
    <w:pPr>
      <w:numPr>
        <w:numId w:val="6"/>
      </w:numPr>
      <w:spacing w:before="120" w:after="120"/>
    </w:pPr>
    <w:rPr>
      <w:rFonts w:cs="Arial"/>
      <w:b/>
      <w:caps/>
      <w:sz w:val="24"/>
    </w:rPr>
  </w:style>
  <w:style w:type="paragraph" w:customStyle="1" w:styleId="AnnexHeading2">
    <w:name w:val="Annex Heading 2"/>
    <w:basedOn w:val="Normal"/>
    <w:next w:val="BodyText"/>
    <w:qFormat/>
    <w:pPr>
      <w:numPr>
        <w:ilvl w:val="1"/>
        <w:numId w:val="6"/>
      </w:numPr>
      <w:spacing w:before="120" w:after="120"/>
    </w:pPr>
    <w:rPr>
      <w:rFonts w:cs="Arial"/>
      <w:b/>
    </w:rPr>
  </w:style>
  <w:style w:type="paragraph" w:customStyle="1" w:styleId="AnnexHeading3">
    <w:name w:val="Annex Heading 3"/>
    <w:basedOn w:val="Normal"/>
    <w:next w:val="Normal"/>
    <w:qFormat/>
    <w:pPr>
      <w:numPr>
        <w:ilvl w:val="2"/>
        <w:numId w:val="6"/>
      </w:numPr>
      <w:spacing w:before="120" w:after="120"/>
    </w:pPr>
    <w:rPr>
      <w:rFonts w:cs="Arial"/>
    </w:rPr>
  </w:style>
  <w:style w:type="paragraph" w:customStyle="1" w:styleId="AnnexHeading4">
    <w:name w:val="Annex Heading 4"/>
    <w:basedOn w:val="Normal"/>
    <w:next w:val="BodyText"/>
    <w:qFormat/>
    <w:pPr>
      <w:numPr>
        <w:ilvl w:val="3"/>
        <w:numId w:val="6"/>
      </w:numPr>
      <w:spacing w:before="120" w:after="120"/>
    </w:pPr>
    <w:rPr>
      <w:rFonts w:cs="Arial"/>
    </w:rPr>
  </w:style>
  <w:style w:type="paragraph" w:customStyle="1" w:styleId="AnnexTable">
    <w:name w:val="Annex Table"/>
    <w:basedOn w:val="Normal"/>
    <w:next w:val="Normal"/>
    <w:qFormat/>
    <w:pPr>
      <w:numPr>
        <w:numId w:val="7"/>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link w:val="Bullet1Char"/>
    <w:qFormat/>
    <w:pPr>
      <w:numPr>
        <w:numId w:val="8"/>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9"/>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10"/>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1"/>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2"/>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3"/>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2"/>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4"/>
      </w:numPr>
      <w:spacing w:before="120" w:after="120"/>
    </w:pPr>
    <w:rPr>
      <w:rFonts w:cs="Arial"/>
      <w:b/>
      <w:caps/>
      <w:sz w:val="24"/>
    </w:rPr>
  </w:style>
  <w:style w:type="paragraph" w:customStyle="1" w:styleId="AppendixHeading2">
    <w:name w:val="Appendix Heading 2"/>
    <w:basedOn w:val="Normal"/>
    <w:next w:val="BodyText"/>
    <w:qFormat/>
    <w:pPr>
      <w:numPr>
        <w:ilvl w:val="1"/>
        <w:numId w:val="14"/>
      </w:numPr>
      <w:spacing w:before="120" w:after="120"/>
    </w:pPr>
    <w:rPr>
      <w:rFonts w:cs="Arial"/>
      <w:b/>
    </w:rPr>
  </w:style>
  <w:style w:type="paragraph" w:customStyle="1" w:styleId="AppendixHeading3">
    <w:name w:val="Appendix Heading 3"/>
    <w:basedOn w:val="Normal"/>
    <w:next w:val="Normal"/>
    <w:qFormat/>
    <w:pPr>
      <w:numPr>
        <w:ilvl w:val="2"/>
        <w:numId w:val="14"/>
      </w:numPr>
      <w:spacing w:before="120" w:after="120"/>
    </w:pPr>
    <w:rPr>
      <w:rFonts w:cs="Arial"/>
    </w:rPr>
  </w:style>
  <w:style w:type="paragraph" w:customStyle="1" w:styleId="AppendixHeading4">
    <w:name w:val="Appendix Heading 4"/>
    <w:basedOn w:val="Normal"/>
    <w:next w:val="BodyText"/>
    <w:qFormat/>
    <w:pPr>
      <w:numPr>
        <w:ilvl w:val="3"/>
        <w:numId w:val="14"/>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5"/>
      </w:numPr>
      <w:spacing w:before="120" w:after="240"/>
    </w:pPr>
    <w:rPr>
      <w:rFonts w:asciiTheme="majorHAnsi" w:eastAsia="Calibri" w:hAnsiTheme="majorHAnsi" w:cs="Calibri"/>
      <w:b/>
      <w:bCs/>
      <w:caps/>
      <w:color w:val="00558C"/>
      <w:sz w:val="28"/>
      <w:szCs w:val="28"/>
      <w:lang w:val="en-GB"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5"/>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4"/>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6"/>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7"/>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8"/>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8"/>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9"/>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20"/>
      </w:numPr>
      <w:jc w:val="center"/>
    </w:pPr>
    <w:rPr>
      <w:i/>
      <w:color w:val="00558C"/>
      <w:lang w:eastAsia="en-GB"/>
    </w:rPr>
  </w:style>
  <w:style w:type="paragraph" w:customStyle="1" w:styleId="Figurecaption">
    <w:name w:val="Figure caption"/>
    <w:basedOn w:val="Caption"/>
    <w:next w:val="BodyText"/>
    <w:qFormat/>
    <w:pPr>
      <w:numPr>
        <w:numId w:val="21"/>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eastAsia="en-US"/>
    </w:rPr>
  </w:style>
  <w:style w:type="paragraph" w:customStyle="1" w:styleId="Referencetext">
    <w:name w:val="Reference text"/>
    <w:basedOn w:val="Normal"/>
    <w:autoRedefine/>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2"/>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3"/>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4"/>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5"/>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5"/>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character" w:customStyle="1" w:styleId="Bullet1Char">
    <w:name w:val="Bullet 1 Char"/>
    <w:link w:val="Bullet1"/>
    <w:qFormat/>
    <w:rPr>
      <w:color w:val="000000" w:themeColor="text1"/>
      <w:sz w:val="22"/>
    </w:rPr>
  </w:style>
  <w:style w:type="character" w:customStyle="1" w:styleId="NormalCharacter">
    <w:name w:val="NormalCharacter"/>
    <w:semiHidden/>
    <w:qFormat/>
  </w:style>
  <w:style w:type="paragraph" w:customStyle="1" w:styleId="ParaText">
    <w:name w:val="ParaText"/>
    <w:qFormat/>
    <w:pPr>
      <w:numPr>
        <w:ilvl w:val="2"/>
        <w:numId w:val="26"/>
      </w:numPr>
      <w:tabs>
        <w:tab w:val="left" w:pos="709"/>
        <w:tab w:val="left" w:pos="1141"/>
        <w:tab w:val="left" w:pos="3969"/>
      </w:tabs>
      <w:spacing w:before="120"/>
    </w:pPr>
    <w:rPr>
      <w:rFonts w:ascii="Calibri" w:eastAsia="Times New Roman" w:hAnsi="Calibri"/>
      <w:sz w:val="25"/>
      <w:lang w:val="en-AU" w:eastAsia="en-US"/>
    </w:rPr>
  </w:style>
  <w:style w:type="paragraph" w:customStyle="1" w:styleId="2">
    <w:name w:val="修订2"/>
    <w:hidden/>
    <w:uiPriority w:val="99"/>
    <w:semiHidden/>
    <w:qFormat/>
    <w:rPr>
      <w:rFonts w:asciiTheme="minorHAnsi" w:eastAsiaTheme="minorHAnsi" w:hAnsiTheme="minorHAnsi" w:cstheme="minorBidi"/>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ntractReview xmlns="http://schemas.wps.cn/vas-ai-hub/contract-review">
  <reviewItems>
    <reviewItem>
      <errorID>3a137b6f-095c-447b-926b-ca55c5d36e76</errorID>
      <errorWord>2027-2030</errorWord>
      <group>L1_English</group>
      <groupName>英文问题</groupName>
      <ability>L2_Other_Grammar</ability>
      <abilityName>其他语法问题</abilityName>
      <candidateList>
        <item>2027–2030</item>
      </candidateList>
      <explain>疑似单词/词组使用不当, 建议将2027-2030修改为2027–2030</explain>
      <paraID>2B11C333</paraID>
      <start>165</start>
      <end>174</end>
      <status>ignored</status>
      <modifiedWord/>
      <trackRevisions>false</trackRevisions>
    </reviewItem>
    <reviewItem>
      <errorID>605a11b5-1886-49f6-aae9-feac74d4f112</errorID>
      <errorWord>decision making</errorWord>
      <group>L1_Punc</group>
      <groupName>标点问题</groupName>
      <ability>L2_Punc_EN</ability>
      <abilityName>标点符号问题</abilityName>
      <candidateList>
        <item>decision-making</item>
      </candidateList>
      <explain>此处疑似有标点符号缺失，建议将decision making修改为decision-making</explain>
      <paraID>23931715</paraID>
      <start>169</start>
      <end>184</end>
      <status>ignored</status>
      <modifiedWord/>
      <trackRevisions>false</trackRevisions>
    </reviewItem>
    <reviewItem>
      <errorID>3edca2b1-9bf0-4504-b96a-642132086727</errorID>
      <errorWord>harmonized</errorWord>
      <group>L1_Punc</group>
      <groupName>标点问题</groupName>
      <ability>L2_Punc_EN</ability>
      <abilityName>标点符号问题</abilityName>
      <candidateList>
        <item>harmonized,</item>
      </candidateList>
      <explain>此处疑似有标点符号缺失，建议将harmonized修改为harmonized,</explain>
      <paraID>602B86AF</paraID>
      <start>4</start>
      <end>14</end>
      <status>ignored</status>
      <modifiedWord/>
      <trackRevisions>false</trackRevisions>
    </reviewItem>
    <reviewItem>
      <errorID>9d6e2121-bc11-48fc-a1c0-e5bd052cbaea</errorID>
      <errorWord>issuance</errorWord>
      <group>L1_Punc</group>
      <groupName>标点问题</groupName>
      <ability>L2_Punc_EN</ability>
      <abilityName>标点符号问题</abilityName>
      <candidateList>
        <item>issuance,</item>
      </candidateList>
      <explain>此处疑似有标点符号缺失，建议将issuance修改为issuance,</explain>
      <paraID>602B86AF</paraID>
      <start>166</start>
      <end>174</end>
      <status>ignored</status>
      <modifiedWord/>
      <trackRevisions>false</trackRevisions>
    </reviewItem>
    <reviewItem>
      <errorID>cb1d02fb-beb2-4d48-b654-863b602b50d6</errorID>
      <errorWord>2027-2030</errorWord>
      <group>L1_English</group>
      <groupName>英文问题</groupName>
      <ability>L2_Other_Grammar</ability>
      <abilityName>其他语法问题</abilityName>
      <candidateList>
        <item>2027–2030</item>
      </candidateList>
      <explain>疑似单词/词组使用不当, 建议将2027-2030修改为2027–2030</explain>
      <paraID>6F12A51B</paraID>
      <start>171</start>
      <end>180</end>
      <status>ignored</status>
      <modifiedWord/>
      <trackRevisions>false</trackRevisions>
    </reviewItem>
  </reviewItems>
  <config/>
</contractReview>
</file>

<file path=customXml/item2.xml><?xml version="1.0" encoding="utf-8"?>
<p:properties xmlns:xsi="http://www.w3.org/2001/XMLSchema-instance" xmlns:p="http://schemas.microsoft.com/office/2006/metadata/properties"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FDC0723-38FC-4B54-B7CB-0435FFFD69BA}">
  <ds:schemaRefs>
    <ds:schemaRef ds:uri="http://schemas.wps.cn/vas-ai-hub/contract-review"/>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0CB15B9-F500-446A-B5AF-BA98A10FB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9369D-F386-4E5F-A827-1882A5CB10B7}">
  <ds:schemaRefs>
    <ds:schemaRef ds:uri="http://schemas.microsoft.com/sharepoint/v3/contenttype/forms"/>
  </ds:schemaRefs>
</ds:datastoreItem>
</file>

<file path=customXml/itemProps5.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8313</Characters>
  <Application>Microsoft Office Word</Application>
  <DocSecurity>0</DocSecurity>
  <Lines>153</Lines>
  <Paragraphs>104</Paragraphs>
  <ScaleCrop>false</ScaleCrop>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136</cp:revision>
  <dcterms:created xsi:type="dcterms:W3CDTF">2021-08-31T07:13:00Z</dcterms:created>
  <dcterms:modified xsi:type="dcterms:W3CDTF">2026-09-01T11:13:00Z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2052-12.1.0.28043</vt:lpwstr>
  </property>
  <property fmtid="{D5CDD505-2E9C-101B-9397-08002B2CF9AE}" pid="4" name="ICV">
    <vt:lpwstr>7C19D976AD4E41CFA72FAB888A97A0E6_13</vt:lpwstr>
  </property>
  <property fmtid="{D5CDD505-2E9C-101B-9397-08002B2CF9AE}" pid="5" name="KSOTemplateDocerSaveRecord">
    <vt:lpwstr>eyJoZGlkIjoiMDVkZDFkMTlkOTZmOTE1YjE5MGU1NDU5OWNkZDM5YjQiLCJ1c2VySWQiOiI0ODk3ODk5NzkifQ==</vt:lpwstr>
  </property>
</Properties>
</file>